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6FBD" w14:textId="77777777" w:rsidR="00486E11" w:rsidRDefault="0008197E" w:rsidP="00210A5B">
      <w:pPr>
        <w:jc w:val="center"/>
        <w:rPr>
          <w:sz w:val="24"/>
        </w:rPr>
      </w:pPr>
      <w:r>
        <w:rPr>
          <w:noProof/>
          <w:sz w:val="24"/>
          <w:lang w:eastAsia="en-IE"/>
        </w:rPr>
        <w:drawing>
          <wp:anchor distT="0" distB="0" distL="114300" distR="114300" simplePos="0" relativeHeight="251658243" behindDoc="0" locked="0" layoutInCell="1" allowOverlap="1" wp14:anchorId="0C017F3A" wp14:editId="7C2914E2">
            <wp:simplePos x="0" y="0"/>
            <wp:positionH relativeFrom="margin">
              <wp:align>center</wp:align>
            </wp:positionH>
            <wp:positionV relativeFrom="paragraph">
              <wp:posOffset>-389106</wp:posOffset>
            </wp:positionV>
            <wp:extent cx="1841771" cy="1171200"/>
            <wp:effectExtent l="0" t="0" r="6350" b="0"/>
            <wp:wrapNone/>
            <wp:docPr id="4" name="Picture 4" descr="PSI The Pharmacy Regulator logo in black and green wri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SI The Pharmacy Regulator logo in black and green writing 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6" t="26408" r="24004" b="28290"/>
                    <a:stretch/>
                  </pic:blipFill>
                  <pic:spPr bwMode="auto">
                    <a:xfrm>
                      <a:off x="0" y="0"/>
                      <a:ext cx="1841771" cy="117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BF9F" w14:textId="71B9DD97" w:rsidR="00486E11" w:rsidRPr="00486E11" w:rsidRDefault="003A3D5D" w:rsidP="003A3D5D">
      <w:pPr>
        <w:jc w:val="center"/>
        <w:rPr>
          <w:sz w:val="24"/>
        </w:rPr>
      </w:pPr>
      <w:r>
        <w:rPr>
          <w:noProof/>
          <w:sz w:val="24"/>
          <w:lang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0FD0C3" wp14:editId="0276E378">
                <wp:simplePos x="0" y="0"/>
                <wp:positionH relativeFrom="margin">
                  <wp:align>right</wp:align>
                </wp:positionH>
                <wp:positionV relativeFrom="paragraph">
                  <wp:posOffset>626110</wp:posOffset>
                </wp:positionV>
                <wp:extent cx="57054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C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2" style="position:absolute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8c95" strokeweight=".5pt" from="398.05pt,49.3pt" to="847.3pt,50.8pt" w14:anchorId="69C19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ptvAEAANkDAAAOAAAAZHJzL2Uyb0RvYy54bWysU9uO0zAQfUfiHyy/0yQrwu5GTfehq+UF&#10;wYrLB7jOuLHkm8amSf+esdumK0BCIF4cjz3nzJnjyfphtoYdAKP2rufNquYMnPSDdvuef/v69OaO&#10;s5iEG4TxDnp+hMgfNq9frafQwY0fvRkAGZG42E2h52NKoauqKEewIq58AEeXyqMViULcVwOKidit&#10;qW7q+l01eRwCegkx0unj6ZJvCr9SINMnpSIkZnpO2lJZsay7vFabtej2KMKo5VmG+AcVVmhHRReq&#10;R5EE+476FyqrJfroVVpJbyuvlJZQeqBumvqnbr6MIkDphcyJYbEp/j9a+fGwdc9INkwhdjE8Y+5i&#10;Vmjzl/SxuZh1XMyCOTFJh+1t3b69bTmTdNfc120xs7qCA8b0HrxledNzo13uRXTi8CEmKkipl5R8&#10;bFxeozd6eNLGlAD3u61BdhD59eq77X2bH4yAL9IoytDqqr/s0tHAifYzKKYHUtyU8mW0YKEVUoJL&#10;zZnXOMrOMEUSFmD9Z+A5P0OhjN3fgBdEqexdWsBWO4+/q57mi2R1yr84cOo7W7Dzw7G8bLGG5qc4&#10;d571PKAv4wK//pGbHwAAAP//AwBQSwMEFAAGAAgAAAAhALC0U7LeAAAABwEAAA8AAABkcnMvZG93&#10;bnJldi54bWxMj0FLw0AUhO+C/2F5gje7qdGQptmUokhAkGKt0OM2+5oEs2/D7raN/97nSY/DDDPf&#10;lKvJDuKMPvSOFMxnCQikxpmeWgW7j5e7HESImoweHKGCbwywqq6vSl0Yd6F3PG9jK7iEQqEVdDGO&#10;hZSh6dDqMHMjEntH562OLH0rjdcXLreDvE+STFrdEy90esSnDpuv7ckqWPu33ee+f6jN5pg+uzSt&#10;X4Orlbq9mdZLEBGn+BeGX3xGh4qZDu5EJohBAR+JChZ5BoLdfJE/gjhwLJlnIKtS/uevfgAAAP//&#10;AwBQSwECLQAUAAYACAAAACEAtoM4kv4AAADhAQAAEwAAAAAAAAAAAAAAAAAAAAAAW0NvbnRlbnRf&#10;VHlwZXNdLnhtbFBLAQItABQABgAIAAAAIQA4/SH/1gAAAJQBAAALAAAAAAAAAAAAAAAAAC8BAABf&#10;cmVscy8ucmVsc1BLAQItABQABgAIAAAAIQBUxMptvAEAANkDAAAOAAAAAAAAAAAAAAAAAC4CAABk&#10;cnMvZTJvRG9jLnhtbFBLAQItABQABgAIAAAAIQCwtFOy3gAAAAcBAAAPAAAAAAAAAAAAAAAAABY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Pr="00210A5B">
        <w:rPr>
          <w:noProof/>
          <w:sz w:val="24"/>
          <w:lang w:eastAsia="en-I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6C637C" wp14:editId="40437D59">
                <wp:simplePos x="0" y="0"/>
                <wp:positionH relativeFrom="margin">
                  <wp:align>right</wp:align>
                </wp:positionH>
                <wp:positionV relativeFrom="paragraph">
                  <wp:posOffset>477520</wp:posOffset>
                </wp:positionV>
                <wp:extent cx="5705475" cy="1771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7F44" w14:textId="77777777" w:rsidR="00210A5B" w:rsidRDefault="00210A5B"/>
                          <w:p w14:paraId="15824958" w14:textId="62DD1E29" w:rsidR="00FD658A" w:rsidRDefault="00EE572C" w:rsidP="00017A12">
                            <w:pPr>
                              <w:pStyle w:val="Heading1"/>
                              <w:jc w:val="center"/>
                              <w:rPr>
                                <w:color w:val="008C95"/>
                              </w:rPr>
                            </w:pPr>
                            <w:r w:rsidRPr="005E159E">
                              <w:rPr>
                                <w:color w:val="008C95"/>
                              </w:rPr>
                              <w:t>PSI Pharmacist Panel</w:t>
                            </w:r>
                          </w:p>
                          <w:p w14:paraId="037492C0" w14:textId="7C323F7D" w:rsidR="00017A12" w:rsidRPr="005E159E" w:rsidRDefault="00017A12" w:rsidP="005E159E">
                            <w:pPr>
                              <w:jc w:val="center"/>
                              <w:rPr>
                                <w:rFonts w:eastAsiaTheme="majorEastAsia" w:cstheme="majorBidi"/>
                                <w:color w:val="008C95"/>
                                <w:sz w:val="52"/>
                                <w:szCs w:val="12"/>
                              </w:rPr>
                            </w:pPr>
                            <w:r w:rsidRPr="005E159E">
                              <w:rPr>
                                <w:rFonts w:eastAsiaTheme="majorEastAsia" w:cstheme="majorBidi"/>
                                <w:color w:val="008C95"/>
                                <w:sz w:val="52"/>
                                <w:szCs w:val="12"/>
                              </w:rPr>
                              <w:t>Terms of Reference</w:t>
                            </w:r>
                          </w:p>
                          <w:p w14:paraId="566A6372" w14:textId="77777777" w:rsidR="0008197E" w:rsidRDefault="0008197E">
                            <w:pPr>
                              <w:rPr>
                                <w:color w:val="00666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C6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37.6pt;width:449.25pt;height:139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JFDgIAAPcDAAAOAAAAZHJzL2Uyb0RvYy54bWysU9tu2zAMfR+wfxD0vtgO4qY14hRdugwD&#10;ugvQ7QNkWY6FyaJGKbG7rx+lpGnQvQ3Tg0CK1BF5eLS6nQbDDgq9BlvzYpZzpqyEVttdzX983767&#10;5swHYVthwKqaPynPb9dv36xGV6k59GBahYxArK9GV/M+BFdlmZe9GoSfgVOWgh3gIAK5uMtaFCOh&#10;Dyab5/lVNgK2DkEq7+n0/hjk64TfdUqGr13nVWCm5lRbSDumvYl7tl6JaofC9VqeyhD/UMUgtKVH&#10;z1D3Igi2R/0X1KAlgocuzCQMGXSdlir1QN0U+atuHnvhVOqFyPHuTJP/f7Dyy+HRfUMWpvcw0QBT&#10;E949gPzpmYVNL+xO3SHC2CvR0sNFpCwbna9OVyPVvvIRpBk/Q0tDFvsACWjqcIisUJ+M0GkAT2fS&#10;1RSYpMNymZeLZcmZpFixXBZXZRpLJqrn6w59+KhgYNGoOdJUE7w4PPgQyxHVc0p8zYPR7VYbkxzc&#10;NRuD7CBIAdu0Ugev0oxlY81vynmZkC3E+0kcgw6kUKOHml/ncR01E+n4YNuUEoQ2R5sqMfbET6Tk&#10;SE6YmokSI08NtE/EFMJRifRzyOgBf3M2kgpr7n/tBSrOzCdLbN8Ui0WUbXIW5XJODl5GmsuIsJKg&#10;ah44O5qbkKQeebBwR1PpdOLrpZJTraSuROPpJ0T5Xvop6+W/rv8AAAD//wMAUEsDBBQABgAIAAAA&#10;IQCzJsVO3QAAAAcBAAAPAAAAZHJzL2Rvd25yZXYueG1sTI9BT4NAFITvJv6HzWvixdhFLIUiS6Mm&#10;Gq+t/QEP9hVI2beE3Rb6711P9jiZycw3xXY2vbjQ6DrLCp6XEQji2uqOGwWHn8+nDITzyBp7y6Tg&#10;Sg625f1dgbm2E+/osveNCCXsclTQej/kUrq6JYNuaQfi4B3taNAHOTZSjziFctPLOIrW0mDHYaHF&#10;gT5aqk/7s1Fw/J4ek81UfflDulut37FLK3tV6mExv72C8DT7/zD84Qd0KANTZc+snegVhCNeQZrE&#10;IIKbbbIERKXgJVnFIMtC3vKXvwAAAP//AwBQSwECLQAUAAYACAAAACEAtoM4kv4AAADhAQAAEwAA&#10;AAAAAAAAAAAAAAAAAAAAW0NvbnRlbnRfVHlwZXNdLnhtbFBLAQItABQABgAIAAAAIQA4/SH/1gAA&#10;AJQBAAALAAAAAAAAAAAAAAAAAC8BAABfcmVscy8ucmVsc1BLAQItABQABgAIAAAAIQAZIiJFDgIA&#10;APcDAAAOAAAAAAAAAAAAAAAAAC4CAABkcnMvZTJvRG9jLnhtbFBLAQItABQABgAIAAAAIQCzJsVO&#10;3QAAAAcBAAAPAAAAAAAAAAAAAAAAAGgEAABkcnMvZG93bnJldi54bWxQSwUGAAAAAAQABADzAAAA&#10;cgUAAAAA&#10;" stroked="f">
                <v:textbox>
                  <w:txbxContent>
                    <w:p w14:paraId="68BF7F44" w14:textId="77777777" w:rsidR="00210A5B" w:rsidRDefault="00210A5B"/>
                    <w:p w14:paraId="15824958" w14:textId="62DD1E29" w:rsidR="00FD658A" w:rsidRDefault="00EE572C" w:rsidP="00017A12">
                      <w:pPr>
                        <w:pStyle w:val="Heading1"/>
                        <w:jc w:val="center"/>
                        <w:rPr>
                          <w:color w:val="008C95"/>
                        </w:rPr>
                      </w:pPr>
                      <w:r w:rsidRPr="005E159E">
                        <w:rPr>
                          <w:color w:val="008C95"/>
                        </w:rPr>
                        <w:t>PSI Pharmacist Panel</w:t>
                      </w:r>
                    </w:p>
                    <w:p w14:paraId="037492C0" w14:textId="7C323F7D" w:rsidR="00017A12" w:rsidRPr="005E159E" w:rsidRDefault="00017A12" w:rsidP="005E159E">
                      <w:pPr>
                        <w:jc w:val="center"/>
                        <w:rPr>
                          <w:rFonts w:eastAsiaTheme="majorEastAsia" w:cstheme="majorBidi"/>
                          <w:color w:val="008C95"/>
                          <w:sz w:val="52"/>
                          <w:szCs w:val="12"/>
                        </w:rPr>
                      </w:pPr>
                      <w:r w:rsidRPr="005E159E">
                        <w:rPr>
                          <w:rFonts w:eastAsiaTheme="majorEastAsia" w:cstheme="majorBidi"/>
                          <w:color w:val="008C95"/>
                          <w:sz w:val="52"/>
                          <w:szCs w:val="12"/>
                        </w:rPr>
                        <w:t>Terms of Reference</w:t>
                      </w:r>
                    </w:p>
                    <w:p w14:paraId="566A6372" w14:textId="77777777" w:rsidR="0008197E" w:rsidRDefault="0008197E">
                      <w:pPr>
                        <w:rPr>
                          <w:color w:val="006666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lang w:eastAsia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6BA3FC" wp14:editId="73004D5B">
                <wp:simplePos x="0" y="0"/>
                <wp:positionH relativeFrom="margin">
                  <wp:align>right</wp:align>
                </wp:positionH>
                <wp:positionV relativeFrom="paragraph">
                  <wp:posOffset>2106930</wp:posOffset>
                </wp:positionV>
                <wp:extent cx="57054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C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3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8c95" strokeweight=".5pt" from="398.05pt,165.9pt" to="847.3pt,167.4pt" w14:anchorId="73F3B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ptvAEAANkDAAAOAAAAZHJzL2Uyb0RvYy54bWysU9uO0zAQfUfiHyy/0yQrwu5GTfehq+UF&#10;wYrLB7jOuLHkm8amSf+esdumK0BCIF4cjz3nzJnjyfphtoYdAKP2rufNquYMnPSDdvuef/v69OaO&#10;s5iEG4TxDnp+hMgfNq9frafQwY0fvRkAGZG42E2h52NKoauqKEewIq58AEeXyqMViULcVwOKidit&#10;qW7q+l01eRwCegkx0unj6ZJvCr9SINMnpSIkZnpO2lJZsay7vFabtej2KMKo5VmG+AcVVmhHRReq&#10;R5EE+476FyqrJfroVVpJbyuvlJZQeqBumvqnbr6MIkDphcyJYbEp/j9a+fGwdc9INkwhdjE8Y+5i&#10;Vmjzl/SxuZh1XMyCOTFJh+1t3b69bTmTdNfc120xs7qCA8b0HrxledNzo13uRXTi8CEmKkipl5R8&#10;bFxeozd6eNLGlAD3u61BdhD59eq77X2bH4yAL9IoytDqqr/s0tHAifYzKKYHUtyU8mW0YKEVUoJL&#10;zZnXOMrOMEUSFmD9Z+A5P0OhjN3fgBdEqexdWsBWO4+/q57mi2R1yr84cOo7W7Dzw7G8bLGG5qc4&#10;d571PKAv4wK//pGbHwAAAP//AwBQSwMEFAAGAAgAAAAhAOngU6DeAAAACAEAAA8AAABkcnMvZG93&#10;bnJldi54bWxMj8FKw0AQhu+C77CM4M1u6laJMZtSFAkIUqwVPG6z0ySYnQ272za+vdOTHmf+4Z/v&#10;K5eTG8QRQ+w9aZjPMhBIjbc9tRq2Hy83OYiYDFkzeEINPxhhWV1elKaw/kTveNykVnAJxcJo6FIa&#10;Cylj06EzceZHJM72PjiTeAyttMGcuNwN8jbL7qUzPfGHzoz41GHzvTk4Davwtv386he1Xe/Vs1eq&#10;fo2+1vr6alo9gkg4pb9jOOMzOlTMtPMHslEMGlgkaVBqzgIc5w/5HYjdebPIQVal/C9Q/QIAAP//&#10;AwBQSwECLQAUAAYACAAAACEAtoM4kv4AAADhAQAAEwAAAAAAAAAAAAAAAAAAAAAAW0NvbnRlbnRf&#10;VHlwZXNdLnhtbFBLAQItABQABgAIAAAAIQA4/SH/1gAAAJQBAAALAAAAAAAAAAAAAAAAAC8BAABf&#10;cmVscy8ucmVsc1BLAQItABQABgAIAAAAIQBUxMptvAEAANkDAAAOAAAAAAAAAAAAAAAAAC4CAABk&#10;cnMvZTJvRG9jLnhtbFBLAQItABQABgAIAAAAIQDp4FOg3gAAAAgBAAAPAAAAAAAAAAAAAAAAABY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="00AB20E9">
        <w:rPr>
          <w:sz w:val="24"/>
        </w:rPr>
        <w:tab/>
      </w:r>
    </w:p>
    <w:p w14:paraId="1924C637" w14:textId="132AD3C6" w:rsidR="00EE572C" w:rsidRPr="00F325CF" w:rsidRDefault="00EE572C" w:rsidP="00EE572C">
      <w:pPr>
        <w:pStyle w:val="Title"/>
        <w:rPr>
          <w:color w:val="008C95"/>
          <w:spacing w:val="0"/>
          <w:kern w:val="0"/>
          <w:szCs w:val="36"/>
        </w:rPr>
      </w:pPr>
      <w:r w:rsidRPr="00F325CF">
        <w:rPr>
          <w:color w:val="008C95"/>
          <w:spacing w:val="0"/>
          <w:kern w:val="0"/>
          <w:szCs w:val="36"/>
        </w:rPr>
        <w:t>Background</w:t>
      </w:r>
    </w:p>
    <w:p w14:paraId="0DD8DD7A" w14:textId="64AB9CCA" w:rsidR="00003A23" w:rsidRDefault="00250548" w:rsidP="00EE572C">
      <w:r>
        <w:t>In November 2023,</w:t>
      </w:r>
      <w:r w:rsidR="0024787C">
        <w:t xml:space="preserve"> </w:t>
      </w:r>
      <w:r w:rsidR="000D4419">
        <w:t xml:space="preserve">the </w:t>
      </w:r>
      <w:r w:rsidR="008135DC">
        <w:t>PSI</w:t>
      </w:r>
      <w:r w:rsidR="00460AB6">
        <w:t xml:space="preserve"> </w:t>
      </w:r>
      <w:r w:rsidR="00411BB3">
        <w:t>issued an</w:t>
      </w:r>
      <w:r w:rsidR="001B54B1">
        <w:t xml:space="preserve"> expression of interest</w:t>
      </w:r>
      <w:r>
        <w:t xml:space="preserve"> </w:t>
      </w:r>
      <w:r w:rsidR="000D4419">
        <w:t>to form</w:t>
      </w:r>
      <w:r w:rsidR="005C0E2A">
        <w:t xml:space="preserve"> </w:t>
      </w:r>
      <w:r>
        <w:t>a panel of pharmacists to collaborate with the PSI and</w:t>
      </w:r>
      <w:r w:rsidR="008330CF">
        <w:t xml:space="preserve"> to</w:t>
      </w:r>
      <w:r>
        <w:t xml:space="preserve"> </w:t>
      </w:r>
      <w:r w:rsidR="00A25D29">
        <w:t xml:space="preserve">provide </w:t>
      </w:r>
      <w:r w:rsidR="00D818BA">
        <w:t>the</w:t>
      </w:r>
      <w:r w:rsidR="00A25D29">
        <w:t xml:space="preserve"> per</w:t>
      </w:r>
      <w:r w:rsidR="00D818BA">
        <w:t xml:space="preserve">spective of practising pharmacists to </w:t>
      </w:r>
      <w:r>
        <w:t xml:space="preserve">inform our work </w:t>
      </w:r>
      <w:r w:rsidR="00FB21BE">
        <w:t>in a variety of ways, such as by taking part in interactive workshops</w:t>
      </w:r>
      <w:r w:rsidR="00C10EE3">
        <w:t>. There was</w:t>
      </w:r>
      <w:r w:rsidR="001C0D48">
        <w:t xml:space="preserve"> </w:t>
      </w:r>
      <w:r w:rsidR="00FB21BE">
        <w:t xml:space="preserve">an initial focus on </w:t>
      </w:r>
      <w:r w:rsidR="001C0D48">
        <w:t>the implementation of recommendations from</w:t>
      </w:r>
      <w:r w:rsidR="00AC73BA">
        <w:t xml:space="preserve"> the </w:t>
      </w:r>
      <w:r w:rsidR="001C0D48">
        <w:t>Expert Taskforce to Support the Expansion of the Role of Pharmac</w:t>
      </w:r>
      <w:r w:rsidR="000D4419">
        <w:t>y</w:t>
      </w:r>
      <w:r w:rsidR="001C0D48">
        <w:t xml:space="preserve"> in Ireland</w:t>
      </w:r>
      <w:r w:rsidR="00FB21BE">
        <w:t>.</w:t>
      </w:r>
      <w:r w:rsidR="00E25EE0">
        <w:t xml:space="preserve"> </w:t>
      </w:r>
      <w:r w:rsidR="75227E03">
        <w:t>A panel of just over 100 pharmacists was formed</w:t>
      </w:r>
      <w:r w:rsidR="00C10EE3">
        <w:t xml:space="preserve"> from this initial expression of interes</w:t>
      </w:r>
      <w:r w:rsidR="00296A55">
        <w:t>t</w:t>
      </w:r>
      <w:r w:rsidR="75227E03">
        <w:t xml:space="preserve">. </w:t>
      </w:r>
      <w:r w:rsidR="00B4472B">
        <w:t xml:space="preserve"> </w:t>
      </w:r>
    </w:p>
    <w:p w14:paraId="1B45F374" w14:textId="239E3E81" w:rsidR="00003A23" w:rsidRDefault="00B4472B" w:rsidP="00EE572C">
      <w:r>
        <w:t xml:space="preserve">In line with this Terms of Reference, a </w:t>
      </w:r>
      <w:r w:rsidR="00D5171D">
        <w:t>review of the panel was undertaken in December 2025/January 2026</w:t>
      </w:r>
      <w:r w:rsidR="00205C9D">
        <w:t xml:space="preserve">. </w:t>
      </w:r>
      <w:r w:rsidR="7945C4A8">
        <w:t xml:space="preserve">An updated Pharmacist Panel was confirmed in February 2026, made up of continuing and new members. </w:t>
      </w:r>
      <w:r w:rsidR="00205C9D">
        <w:t>There are 10</w:t>
      </w:r>
      <w:r w:rsidR="53DAD996">
        <w:t>1</w:t>
      </w:r>
      <w:r w:rsidR="00205C9D">
        <w:t xml:space="preserve"> Pharmacist Panel members.</w:t>
      </w:r>
    </w:p>
    <w:p w14:paraId="18C451EB" w14:textId="18C65F15" w:rsidR="00101DDC" w:rsidRPr="00A9271C" w:rsidRDefault="00101DDC" w:rsidP="00101DDC">
      <w:pPr>
        <w:pStyle w:val="Title"/>
        <w:rPr>
          <w:color w:val="008C95"/>
          <w:spacing w:val="0"/>
          <w:kern w:val="0"/>
          <w:szCs w:val="36"/>
        </w:rPr>
      </w:pPr>
      <w:r w:rsidRPr="00A9271C">
        <w:rPr>
          <w:color w:val="008C95"/>
          <w:spacing w:val="0"/>
          <w:kern w:val="0"/>
          <w:szCs w:val="36"/>
        </w:rPr>
        <w:t>Purpose</w:t>
      </w:r>
      <w:r w:rsidR="00E618F0">
        <w:rPr>
          <w:color w:val="008C95"/>
          <w:spacing w:val="0"/>
          <w:kern w:val="0"/>
          <w:szCs w:val="36"/>
        </w:rPr>
        <w:t xml:space="preserve"> and Objectives</w:t>
      </w:r>
    </w:p>
    <w:p w14:paraId="2418D364" w14:textId="3E8F8311" w:rsidR="006437BB" w:rsidRDefault="00EE5E9B" w:rsidP="001D17E4">
      <w:r>
        <w:t xml:space="preserve">The </w:t>
      </w:r>
      <w:r w:rsidR="00F25D02">
        <w:t>PSI regularly engages with registered pharmacists as part of our regulatory work</w:t>
      </w:r>
      <w:r w:rsidR="14BA236B">
        <w:t>,</w:t>
      </w:r>
      <w:r w:rsidR="003D1774">
        <w:t xml:space="preserve"> including through surveys</w:t>
      </w:r>
      <w:r w:rsidR="00733379">
        <w:t>,</w:t>
      </w:r>
      <w:r w:rsidR="003D1774">
        <w:t xml:space="preserve"> public consultation</w:t>
      </w:r>
      <w:r w:rsidR="00733379">
        <w:t>s</w:t>
      </w:r>
      <w:r w:rsidR="75BB7663">
        <w:t>,</w:t>
      </w:r>
      <w:r w:rsidR="00A059C7">
        <w:t xml:space="preserve"> roadshows and focus groups</w:t>
      </w:r>
      <w:r w:rsidR="003D1774">
        <w:t xml:space="preserve">. </w:t>
      </w:r>
      <w:r w:rsidR="007A2F27">
        <w:t xml:space="preserve">The purpose of the </w:t>
      </w:r>
      <w:r w:rsidR="00F25D02">
        <w:t xml:space="preserve">PSI </w:t>
      </w:r>
      <w:r w:rsidR="00422CEB">
        <w:t>Pharmacist Panel</w:t>
      </w:r>
      <w:r w:rsidR="001D17E4">
        <w:t xml:space="preserve"> </w:t>
      </w:r>
      <w:r w:rsidR="00422CEB">
        <w:t>is</w:t>
      </w:r>
      <w:r w:rsidR="00F25D02">
        <w:t xml:space="preserve"> </w:t>
      </w:r>
      <w:r w:rsidR="00DE59D3">
        <w:t>advisory</w:t>
      </w:r>
      <w:r w:rsidR="004F399F">
        <w:t xml:space="preserve">. It </w:t>
      </w:r>
      <w:r w:rsidR="00D651FD">
        <w:t>provide</w:t>
      </w:r>
      <w:r w:rsidR="004F399F">
        <w:t>s</w:t>
      </w:r>
      <w:r w:rsidR="00D651FD">
        <w:t xml:space="preserve"> </w:t>
      </w:r>
      <w:r w:rsidR="002D4A04">
        <w:t>a</w:t>
      </w:r>
      <w:r w:rsidR="00D651FD">
        <w:t xml:space="preserve"> forum to </w:t>
      </w:r>
      <w:r w:rsidR="00F25D02">
        <w:t>hear from</w:t>
      </w:r>
      <w:r w:rsidR="001D17E4">
        <w:t xml:space="preserve"> a </w:t>
      </w:r>
      <w:r w:rsidR="00461EF6">
        <w:t>range</w:t>
      </w:r>
      <w:r w:rsidR="001D17E4">
        <w:t xml:space="preserve"> of </w:t>
      </w:r>
      <w:r w:rsidR="000E48A6">
        <w:t xml:space="preserve">practising </w:t>
      </w:r>
      <w:r w:rsidR="001D17E4">
        <w:t>pharmacists from</w:t>
      </w:r>
      <w:r w:rsidR="00DF1C05">
        <w:t xml:space="preserve"> a variety of roles and backgrounds across the</w:t>
      </w:r>
      <w:r w:rsidR="00BE4B1F">
        <w:t xml:space="preserve"> health and social care </w:t>
      </w:r>
      <w:r w:rsidR="00DF1C05">
        <w:t>system</w:t>
      </w:r>
      <w:r w:rsidR="00BE4B1F">
        <w:t xml:space="preserve"> </w:t>
      </w:r>
      <w:proofErr w:type="gramStart"/>
      <w:r w:rsidR="00AB3CB6">
        <w:t xml:space="preserve">in order </w:t>
      </w:r>
      <w:r w:rsidR="006437BB">
        <w:t>to</w:t>
      </w:r>
      <w:proofErr w:type="gramEnd"/>
      <w:r w:rsidR="006437BB">
        <w:t xml:space="preserve"> inform our work.</w:t>
      </w:r>
      <w:r w:rsidR="00DF1C05">
        <w:t xml:space="preserve"> </w:t>
      </w:r>
    </w:p>
    <w:p w14:paraId="081BAABA" w14:textId="3EE247DC" w:rsidR="001D17E4" w:rsidRDefault="001B0EBE" w:rsidP="001D17E4">
      <w:r>
        <w:t xml:space="preserve">This engagement </w:t>
      </w:r>
      <w:r w:rsidR="00504D49">
        <w:t xml:space="preserve">on </w:t>
      </w:r>
      <w:r w:rsidR="001D17E4">
        <w:t>the work of the PSI</w:t>
      </w:r>
      <w:r w:rsidR="00504D49">
        <w:t xml:space="preserve"> may include</w:t>
      </w:r>
      <w:r w:rsidR="00BE1053">
        <w:t xml:space="preserve"> input on</w:t>
      </w:r>
      <w:r w:rsidR="00FD260D">
        <w:t xml:space="preserve"> policy </w:t>
      </w:r>
      <w:r w:rsidR="001D17E4">
        <w:t xml:space="preserve">developments </w:t>
      </w:r>
      <w:r w:rsidR="00FD260D">
        <w:t>relating to</w:t>
      </w:r>
      <w:r w:rsidR="00934F66">
        <w:t xml:space="preserve"> the</w:t>
      </w:r>
      <w:r w:rsidR="00FD260D">
        <w:t xml:space="preserve"> </w:t>
      </w:r>
      <w:r w:rsidR="001D17E4">
        <w:t xml:space="preserve">expanded </w:t>
      </w:r>
      <w:r w:rsidR="00934F66">
        <w:t>role</w:t>
      </w:r>
      <w:r w:rsidR="001D17E4">
        <w:t xml:space="preserve"> of </w:t>
      </w:r>
      <w:r w:rsidR="00934F66">
        <w:t>pharmacists</w:t>
      </w:r>
      <w:r w:rsidR="009D209B">
        <w:t>, giving input on the PSI’s strategic projects</w:t>
      </w:r>
      <w:r w:rsidR="00503692">
        <w:t>,</w:t>
      </w:r>
      <w:r w:rsidR="00A947F8">
        <w:t xml:space="preserve"> </w:t>
      </w:r>
      <w:r w:rsidR="006D27E7">
        <w:t>including guidance development and</w:t>
      </w:r>
      <w:r w:rsidR="0050004D">
        <w:t xml:space="preserve"> </w:t>
      </w:r>
      <w:r w:rsidR="00982A84">
        <w:t>supporting the</w:t>
      </w:r>
      <w:r w:rsidR="001D17E4">
        <w:t xml:space="preserve"> </w:t>
      </w:r>
      <w:r w:rsidR="000227AF">
        <w:t xml:space="preserve">safe </w:t>
      </w:r>
      <w:r w:rsidR="006118AD">
        <w:t xml:space="preserve">implementation of </w:t>
      </w:r>
      <w:r w:rsidR="00982A84">
        <w:t>new or adapted</w:t>
      </w:r>
      <w:r w:rsidR="001D17E4">
        <w:t xml:space="preserve"> </w:t>
      </w:r>
      <w:r w:rsidR="00FD260D">
        <w:t xml:space="preserve">pharmacy services </w:t>
      </w:r>
      <w:r w:rsidR="00504D49">
        <w:t>in Ireland</w:t>
      </w:r>
      <w:r w:rsidR="00FD260D">
        <w:t>.</w:t>
      </w:r>
      <w:r w:rsidR="1BC8A4A6">
        <w:t xml:space="preserve"> </w:t>
      </w:r>
    </w:p>
    <w:p w14:paraId="2EF8C5AD" w14:textId="779BFFD0" w:rsidR="00101DDC" w:rsidRDefault="00A8616C" w:rsidP="00EE572C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T</w:t>
      </w:r>
      <w:r w:rsidR="00E618F0">
        <w:rPr>
          <w:rStyle w:val="normaltextrun"/>
          <w:rFonts w:ascii="Calibri" w:hAnsi="Calibri" w:cs="Calibri"/>
          <w:color w:val="000000"/>
        </w:rPr>
        <w:t>his direct engagement with pharmacists,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 w:rsidR="00605C2F">
        <w:rPr>
          <w:rStyle w:val="normaltextrun"/>
          <w:rFonts w:ascii="Calibri" w:hAnsi="Calibri" w:cs="Calibri"/>
          <w:color w:val="000000"/>
        </w:rPr>
        <w:t xml:space="preserve">aims to </w:t>
      </w:r>
      <w:r>
        <w:rPr>
          <w:rStyle w:val="normaltextrun"/>
          <w:rFonts w:ascii="Calibri" w:hAnsi="Calibri" w:cs="Calibri"/>
          <w:color w:val="000000"/>
        </w:rPr>
        <w:t>ensure</w:t>
      </w:r>
      <w:r w:rsidR="00E618F0">
        <w:rPr>
          <w:rStyle w:val="normaltextrun"/>
          <w:rFonts w:ascii="Calibri" w:hAnsi="Calibri" w:cs="Calibri"/>
          <w:color w:val="000000"/>
        </w:rPr>
        <w:t xml:space="preserve"> </w:t>
      </w:r>
      <w:r w:rsidR="00C54E1D">
        <w:rPr>
          <w:rStyle w:val="normaltextrun"/>
          <w:rFonts w:ascii="Calibri" w:hAnsi="Calibri" w:cs="Calibri"/>
          <w:color w:val="000000"/>
        </w:rPr>
        <w:t xml:space="preserve">the </w:t>
      </w:r>
      <w:r w:rsidR="00E618F0">
        <w:rPr>
          <w:rStyle w:val="normaltextrun"/>
          <w:rFonts w:ascii="Calibri" w:hAnsi="Calibri" w:cs="Calibri"/>
          <w:color w:val="000000"/>
        </w:rPr>
        <w:t xml:space="preserve">PSI </w:t>
      </w:r>
      <w:r>
        <w:rPr>
          <w:rStyle w:val="normaltextrun"/>
          <w:rFonts w:ascii="Calibri" w:hAnsi="Calibri" w:cs="Calibri"/>
          <w:color w:val="000000"/>
        </w:rPr>
        <w:t>is</w:t>
      </w:r>
      <w:r w:rsidR="00E618F0">
        <w:rPr>
          <w:rStyle w:val="normaltextrun"/>
          <w:rFonts w:ascii="Calibri" w:hAnsi="Calibri" w:cs="Calibri"/>
          <w:color w:val="000000"/>
        </w:rPr>
        <w:t xml:space="preserve"> informed </w:t>
      </w:r>
      <w:r w:rsidR="009B58DC">
        <w:rPr>
          <w:rStyle w:val="normaltextrun"/>
          <w:rFonts w:ascii="Calibri" w:hAnsi="Calibri" w:cs="Calibri"/>
          <w:color w:val="000000"/>
        </w:rPr>
        <w:t>about</w:t>
      </w:r>
      <w:r w:rsidR="00770E38">
        <w:rPr>
          <w:rStyle w:val="normaltextrun"/>
          <w:rFonts w:ascii="Calibri" w:hAnsi="Calibri" w:cs="Calibri"/>
          <w:color w:val="000000"/>
        </w:rPr>
        <w:t xml:space="preserve"> matters of importance to pharmacists, and</w:t>
      </w:r>
      <w:r w:rsidR="009B58DC">
        <w:rPr>
          <w:rStyle w:val="normaltextrun"/>
          <w:rFonts w:ascii="Calibri" w:hAnsi="Calibri" w:cs="Calibri"/>
          <w:color w:val="000000"/>
        </w:rPr>
        <w:t xml:space="preserve"> </w:t>
      </w:r>
      <w:r w:rsidR="00770E38">
        <w:rPr>
          <w:rStyle w:val="normaltextrun"/>
          <w:rFonts w:ascii="Calibri" w:hAnsi="Calibri" w:cs="Calibri"/>
          <w:color w:val="000000"/>
        </w:rPr>
        <w:t>the impact of our work</w:t>
      </w:r>
      <w:r w:rsidR="009B58DC">
        <w:rPr>
          <w:rStyle w:val="normaltextrun"/>
          <w:rFonts w:ascii="Calibri" w:hAnsi="Calibri" w:cs="Calibri"/>
          <w:color w:val="000000"/>
        </w:rPr>
        <w:t xml:space="preserve">.  </w:t>
      </w:r>
    </w:p>
    <w:p w14:paraId="67FC7DC6" w14:textId="3462AE80" w:rsidR="00EE572C" w:rsidRPr="00DC3074" w:rsidRDefault="00EE572C" w:rsidP="00EE572C">
      <w:pPr>
        <w:pStyle w:val="Title"/>
        <w:rPr>
          <w:color w:val="008C95"/>
          <w:spacing w:val="0"/>
          <w:kern w:val="0"/>
          <w:szCs w:val="36"/>
        </w:rPr>
      </w:pPr>
      <w:r w:rsidRPr="00D31657">
        <w:rPr>
          <w:color w:val="008C95"/>
          <w:spacing w:val="0"/>
          <w:kern w:val="0"/>
          <w:szCs w:val="36"/>
        </w:rPr>
        <w:t>Membership</w:t>
      </w:r>
      <w:r w:rsidR="008A6FD9" w:rsidRPr="00D31657">
        <w:rPr>
          <w:color w:val="008C95"/>
          <w:spacing w:val="0"/>
          <w:kern w:val="0"/>
          <w:szCs w:val="36"/>
        </w:rPr>
        <w:t xml:space="preserve"> </w:t>
      </w:r>
    </w:p>
    <w:p w14:paraId="72BE2EDF" w14:textId="507C4409" w:rsidR="00E02AFE" w:rsidRDefault="00E1077F" w:rsidP="00EE572C">
      <w:r>
        <w:t xml:space="preserve">The </w:t>
      </w:r>
      <w:r w:rsidR="00057B86">
        <w:t>Panel</w:t>
      </w:r>
      <w:r w:rsidR="00D31657">
        <w:t xml:space="preserve"> consists of </w:t>
      </w:r>
      <w:r w:rsidR="00D27986">
        <w:t xml:space="preserve">pharmacists registered with the PSI who responded to </w:t>
      </w:r>
      <w:r w:rsidR="00872731">
        <w:t xml:space="preserve">an </w:t>
      </w:r>
      <w:r w:rsidR="00D27986">
        <w:t>expression of interest</w:t>
      </w:r>
      <w:r w:rsidR="00872731">
        <w:t xml:space="preserve"> </w:t>
      </w:r>
      <w:r w:rsidR="006F0C64">
        <w:t>application</w:t>
      </w:r>
      <w:r w:rsidR="00D27986">
        <w:t>.</w:t>
      </w:r>
      <w:r w:rsidR="00F325CF">
        <w:t xml:space="preserve"> </w:t>
      </w:r>
    </w:p>
    <w:p w14:paraId="5CFED54B" w14:textId="02235F67" w:rsidR="00304561" w:rsidRPr="00304561" w:rsidRDefault="00304561" w:rsidP="00304561">
      <w:r>
        <w:t xml:space="preserve">The PSI </w:t>
      </w:r>
      <w:r w:rsidR="287325F2">
        <w:t>is</w:t>
      </w:r>
      <w:r w:rsidRPr="5149B26E">
        <w:rPr>
          <w:i/>
          <w:iCs/>
        </w:rPr>
        <w:t xml:space="preserve"> </w:t>
      </w:r>
      <w:r>
        <w:t xml:space="preserve">committed to having a diverse cross-section of pharmacists on the Pharmacist </w:t>
      </w:r>
      <w:r w:rsidR="00A301AB">
        <w:t>P</w:t>
      </w:r>
      <w:r>
        <w:t>anel who are representative of the profession</w:t>
      </w:r>
      <w:r w:rsidR="00EF41D3">
        <w:t xml:space="preserve">, </w:t>
      </w:r>
      <w:r>
        <w:t xml:space="preserve">come from a variety of roles and backgrounds, and who have </w:t>
      </w:r>
      <w:r>
        <w:lastRenderedPageBreak/>
        <w:t xml:space="preserve">varying years of </w:t>
      </w:r>
      <w:r w:rsidR="006F0C64">
        <w:t xml:space="preserve">post-registration </w:t>
      </w:r>
      <w:r>
        <w:t>experience</w:t>
      </w:r>
      <w:r w:rsidRPr="5149B26E">
        <w:rPr>
          <w:i/>
          <w:iCs/>
        </w:rPr>
        <w:t xml:space="preserve">. </w:t>
      </w:r>
      <w:r>
        <w:t xml:space="preserve">Within the group there are community pharmacists, hospital pharmacists, pharmacists in academia, pharmacists from the pharmaceutical industry and those who work or practice in other settings. </w:t>
      </w:r>
      <w:r w:rsidR="00443ACE">
        <w:t xml:space="preserve"> </w:t>
      </w:r>
    </w:p>
    <w:p w14:paraId="315E70FE" w14:textId="27E787DD" w:rsidR="008A6FD9" w:rsidRDefault="00E41773" w:rsidP="00EE572C">
      <w:r>
        <w:t>Membership of the Panel</w:t>
      </w:r>
      <w:r w:rsidR="0056226D">
        <w:t xml:space="preserve"> will be</w:t>
      </w:r>
      <w:r w:rsidR="00002C77">
        <w:t xml:space="preserve"> </w:t>
      </w:r>
      <w:r w:rsidR="0056226D">
        <w:t xml:space="preserve">reviewed every </w:t>
      </w:r>
      <w:r w:rsidR="00414B79">
        <w:t>two</w:t>
      </w:r>
      <w:r w:rsidR="0056226D">
        <w:t xml:space="preserve"> years</w:t>
      </w:r>
      <w:r w:rsidR="005F26B5">
        <w:t>.  Existing members</w:t>
      </w:r>
      <w:r w:rsidR="0056226D">
        <w:t xml:space="preserve"> will have the option to </w:t>
      </w:r>
      <w:r w:rsidR="00414B79">
        <w:t xml:space="preserve">renew their membership.  </w:t>
      </w:r>
      <w:r w:rsidR="00642BA0">
        <w:t>Members</w:t>
      </w:r>
      <w:r w:rsidR="0056226D">
        <w:t xml:space="preserve"> </w:t>
      </w:r>
      <w:r w:rsidR="00642BA0">
        <w:t>may also</w:t>
      </w:r>
      <w:r w:rsidR="0056226D">
        <w:t xml:space="preserve"> opt out </w:t>
      </w:r>
      <w:r w:rsidR="00C1742D">
        <w:t xml:space="preserve">of the </w:t>
      </w:r>
      <w:r w:rsidR="0BD77962">
        <w:t>P</w:t>
      </w:r>
      <w:r w:rsidR="00C1742D">
        <w:t xml:space="preserve">anel </w:t>
      </w:r>
      <w:r w:rsidR="0056226D">
        <w:t>at any point</w:t>
      </w:r>
      <w:r w:rsidR="00CD2E8C">
        <w:t xml:space="preserve">. </w:t>
      </w:r>
    </w:p>
    <w:p w14:paraId="310B8D0E" w14:textId="03718E82" w:rsidR="00813908" w:rsidRPr="00DC3074" w:rsidRDefault="00DB5852" w:rsidP="00508A25">
      <w:pPr>
        <w:pStyle w:val="Title"/>
        <w:rPr>
          <w:color w:val="008C95"/>
          <w:spacing w:val="0"/>
          <w:kern w:val="0"/>
        </w:rPr>
      </w:pPr>
      <w:r w:rsidRPr="00508A25">
        <w:rPr>
          <w:color w:val="008C95"/>
          <w:spacing w:val="0"/>
          <w:kern w:val="0"/>
        </w:rPr>
        <w:t>Group Partici</w:t>
      </w:r>
      <w:r w:rsidR="004C4AEB" w:rsidRPr="00508A25">
        <w:rPr>
          <w:color w:val="008C95"/>
          <w:spacing w:val="0"/>
          <w:kern w:val="0"/>
        </w:rPr>
        <w:t>pation</w:t>
      </w:r>
    </w:p>
    <w:p w14:paraId="146CA6B5" w14:textId="5FA822AC" w:rsidR="004C4AEB" w:rsidRDefault="004C4AEB" w:rsidP="004C4AEB">
      <w:pPr>
        <w:rPr>
          <w:rStyle w:val="normaltextrun"/>
          <w:rFonts w:ascii="Calibri" w:hAnsi="Calibri" w:cs="Calibri"/>
          <w:color w:val="000000"/>
        </w:rPr>
      </w:pPr>
      <w:r w:rsidRPr="7A3C9353">
        <w:rPr>
          <w:rStyle w:val="normaltextrun"/>
          <w:rFonts w:ascii="Calibri" w:hAnsi="Calibri" w:cs="Calibri"/>
          <w:color w:val="000000" w:themeColor="text1"/>
        </w:rPr>
        <w:t xml:space="preserve">Members of the panel </w:t>
      </w:r>
      <w:r w:rsidR="00C1742D" w:rsidRPr="7A3C9353">
        <w:rPr>
          <w:rStyle w:val="normaltextrun"/>
          <w:rFonts w:ascii="Calibri" w:hAnsi="Calibri" w:cs="Calibri"/>
          <w:color w:val="000000" w:themeColor="text1"/>
        </w:rPr>
        <w:t xml:space="preserve">may </w:t>
      </w:r>
      <w:r w:rsidRPr="7A3C9353">
        <w:rPr>
          <w:rStyle w:val="normaltextrun"/>
          <w:rFonts w:ascii="Calibri" w:hAnsi="Calibri" w:cs="Calibri"/>
          <w:color w:val="000000" w:themeColor="text1"/>
        </w:rPr>
        <w:t xml:space="preserve">be invited to </w:t>
      </w:r>
      <w:r w:rsidR="001821E1" w:rsidRPr="7A3C9353">
        <w:rPr>
          <w:rStyle w:val="normaltextrun"/>
          <w:rFonts w:ascii="Calibri" w:hAnsi="Calibri" w:cs="Calibri"/>
          <w:color w:val="000000" w:themeColor="text1"/>
        </w:rPr>
        <w:t>engage with the</w:t>
      </w:r>
      <w:r w:rsidR="004F1534" w:rsidRPr="7A3C9353">
        <w:rPr>
          <w:rStyle w:val="normaltextrun"/>
          <w:rFonts w:ascii="Calibri" w:hAnsi="Calibri" w:cs="Calibri"/>
          <w:color w:val="000000" w:themeColor="text1"/>
        </w:rPr>
        <w:t xml:space="preserve"> PSI</w:t>
      </w:r>
      <w:r w:rsidR="000775B7" w:rsidRPr="7A3C9353">
        <w:rPr>
          <w:rStyle w:val="normaltextrun"/>
          <w:rFonts w:ascii="Calibri" w:hAnsi="Calibri" w:cs="Calibri"/>
          <w:color w:val="000000" w:themeColor="text1"/>
        </w:rPr>
        <w:t xml:space="preserve"> in a variety of ways</w:t>
      </w:r>
      <w:r w:rsidRPr="7A3C9353">
        <w:rPr>
          <w:rStyle w:val="normaltextrun"/>
          <w:rFonts w:ascii="Calibri" w:hAnsi="Calibri" w:cs="Calibri"/>
          <w:color w:val="000000" w:themeColor="text1"/>
        </w:rPr>
        <w:t>, such as by taking part in interactive workshops</w:t>
      </w:r>
      <w:r w:rsidR="001821E1" w:rsidRPr="7A3C9353">
        <w:rPr>
          <w:rStyle w:val="normaltextrun"/>
          <w:rFonts w:ascii="Calibri" w:hAnsi="Calibri" w:cs="Calibri"/>
          <w:color w:val="000000" w:themeColor="text1"/>
        </w:rPr>
        <w:t xml:space="preserve">, </w:t>
      </w:r>
      <w:r w:rsidR="003B1D95" w:rsidRPr="7A3C9353">
        <w:rPr>
          <w:rStyle w:val="normaltextrun"/>
          <w:rFonts w:ascii="Calibri" w:hAnsi="Calibri" w:cs="Calibri"/>
          <w:color w:val="000000" w:themeColor="text1"/>
        </w:rPr>
        <w:t>attending</w:t>
      </w:r>
      <w:r w:rsidR="00201FE5" w:rsidRPr="7A3C9353">
        <w:rPr>
          <w:rStyle w:val="normaltextrun"/>
          <w:rFonts w:ascii="Calibri" w:hAnsi="Calibri" w:cs="Calibri"/>
          <w:color w:val="000000" w:themeColor="text1"/>
        </w:rPr>
        <w:t xml:space="preserve"> online</w:t>
      </w:r>
      <w:r w:rsidR="003B1D95" w:rsidRPr="7A3C9353">
        <w:rPr>
          <w:rStyle w:val="normaltextrun"/>
          <w:rFonts w:ascii="Calibri" w:hAnsi="Calibri" w:cs="Calibri"/>
          <w:color w:val="000000" w:themeColor="text1"/>
        </w:rPr>
        <w:t xml:space="preserve"> focus groups or responding to surveys</w:t>
      </w:r>
      <w:r w:rsidR="00832A5B" w:rsidRPr="7A3C9353">
        <w:rPr>
          <w:rStyle w:val="normaltextrun"/>
          <w:rFonts w:ascii="Calibri" w:hAnsi="Calibri" w:cs="Calibri"/>
          <w:color w:val="000000" w:themeColor="text1"/>
        </w:rPr>
        <w:t>/</w:t>
      </w:r>
      <w:r w:rsidR="003B1D95" w:rsidRPr="7A3C9353">
        <w:rPr>
          <w:rStyle w:val="normaltextrun"/>
          <w:rFonts w:ascii="Calibri" w:hAnsi="Calibri" w:cs="Calibri"/>
          <w:color w:val="000000" w:themeColor="text1"/>
        </w:rPr>
        <w:t>emails</w:t>
      </w:r>
      <w:r w:rsidRPr="7A3C9353">
        <w:rPr>
          <w:rStyle w:val="normaltextrun"/>
          <w:rFonts w:ascii="Calibri" w:hAnsi="Calibri" w:cs="Calibri"/>
          <w:color w:val="000000" w:themeColor="text1"/>
        </w:rPr>
        <w:t>.</w:t>
      </w:r>
      <w:r w:rsidR="003B1D95" w:rsidRPr="7A3C9353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EA1FD3" w:rsidRPr="7A3C9353">
        <w:rPr>
          <w:rStyle w:val="normaltextrun"/>
          <w:rFonts w:ascii="Calibri" w:hAnsi="Calibri" w:cs="Calibri"/>
          <w:color w:val="000000" w:themeColor="text1"/>
        </w:rPr>
        <w:t>Panel members are encouraged to actively participate in the various engagement activities</w:t>
      </w:r>
      <w:r w:rsidR="242FBA50" w:rsidRPr="7A3C9353">
        <w:rPr>
          <w:rStyle w:val="normaltextrun"/>
          <w:rFonts w:ascii="Calibri" w:hAnsi="Calibri" w:cs="Calibri"/>
          <w:color w:val="000000" w:themeColor="text1"/>
        </w:rPr>
        <w:t>,</w:t>
      </w:r>
      <w:r w:rsidR="00900FE6" w:rsidRPr="7A3C9353">
        <w:rPr>
          <w:rStyle w:val="normaltextrun"/>
          <w:rFonts w:ascii="Calibri" w:hAnsi="Calibri" w:cs="Calibri"/>
          <w:color w:val="000000" w:themeColor="text1"/>
        </w:rPr>
        <w:t xml:space="preserve"> and the PSI will facilitate this as best as possible with small group </w:t>
      </w:r>
      <w:r w:rsidR="00010D8E" w:rsidRPr="7A3C9353">
        <w:rPr>
          <w:rStyle w:val="normaltextrun"/>
          <w:rFonts w:ascii="Calibri" w:hAnsi="Calibri" w:cs="Calibri"/>
          <w:color w:val="000000" w:themeColor="text1"/>
        </w:rPr>
        <w:t xml:space="preserve">discussions and </w:t>
      </w:r>
      <w:r w:rsidR="006F205B" w:rsidRPr="7A3C9353">
        <w:rPr>
          <w:rStyle w:val="normaltextrun"/>
          <w:rFonts w:ascii="Calibri" w:hAnsi="Calibri" w:cs="Calibri"/>
          <w:color w:val="000000" w:themeColor="text1"/>
        </w:rPr>
        <w:t xml:space="preserve">by welcoming </w:t>
      </w:r>
      <w:r w:rsidR="601E74AE" w:rsidRPr="7A3C9353">
        <w:rPr>
          <w:rStyle w:val="normaltextrun"/>
          <w:rFonts w:ascii="Calibri" w:hAnsi="Calibri" w:cs="Calibri"/>
          <w:color w:val="000000" w:themeColor="text1"/>
        </w:rPr>
        <w:t>input</w:t>
      </w:r>
      <w:r w:rsidR="006F205B" w:rsidRPr="7A3C9353">
        <w:rPr>
          <w:rStyle w:val="normaltextrun"/>
          <w:rFonts w:ascii="Calibri" w:hAnsi="Calibri" w:cs="Calibri"/>
          <w:color w:val="000000" w:themeColor="text1"/>
        </w:rPr>
        <w:t xml:space="preserve"> and feedback</w:t>
      </w:r>
      <w:r w:rsidR="00EA1FD3" w:rsidRPr="7A3C9353">
        <w:rPr>
          <w:rStyle w:val="normaltextrun"/>
          <w:rFonts w:ascii="Calibri" w:hAnsi="Calibri" w:cs="Calibri"/>
          <w:color w:val="000000" w:themeColor="text1"/>
        </w:rPr>
        <w:t xml:space="preserve">.  </w:t>
      </w:r>
      <w:r w:rsidR="00152CA6" w:rsidRPr="7A3C9353">
        <w:rPr>
          <w:rStyle w:val="normaltextrun"/>
          <w:rFonts w:ascii="Calibri" w:hAnsi="Calibri" w:cs="Calibri"/>
          <w:color w:val="000000" w:themeColor="text1"/>
        </w:rPr>
        <w:t>A</w:t>
      </w:r>
      <w:r w:rsidR="003B1D95" w:rsidRPr="7A3C9353">
        <w:rPr>
          <w:rStyle w:val="normaltextrun"/>
          <w:rFonts w:ascii="Calibri" w:hAnsi="Calibri" w:cs="Calibri"/>
          <w:color w:val="000000" w:themeColor="text1"/>
        </w:rPr>
        <w:t>ttendance or participation is</w:t>
      </w:r>
      <w:r w:rsidRPr="7A3C9353">
        <w:rPr>
          <w:rStyle w:val="normaltextrun"/>
          <w:rFonts w:ascii="Calibri" w:hAnsi="Calibri" w:cs="Calibri"/>
          <w:color w:val="000000" w:themeColor="text1"/>
        </w:rPr>
        <w:t xml:space="preserve"> optional</w:t>
      </w:r>
      <w:r w:rsidR="004F1534" w:rsidRPr="7A3C9353">
        <w:rPr>
          <w:rStyle w:val="normaltextrun"/>
          <w:rFonts w:ascii="Calibri" w:hAnsi="Calibri" w:cs="Calibri"/>
          <w:color w:val="000000" w:themeColor="text1"/>
        </w:rPr>
        <w:t xml:space="preserve"> and if a panel member cannot make </w:t>
      </w:r>
      <w:r w:rsidR="00582C38" w:rsidRPr="7A3C9353">
        <w:rPr>
          <w:rStyle w:val="normaltextrun"/>
          <w:rFonts w:ascii="Calibri" w:hAnsi="Calibri" w:cs="Calibri"/>
          <w:color w:val="000000" w:themeColor="text1"/>
        </w:rPr>
        <w:t xml:space="preserve">an event this will not affect their membership. </w:t>
      </w:r>
    </w:p>
    <w:p w14:paraId="62A9C6E3" w14:textId="2667392A" w:rsidR="00BD41B9" w:rsidRPr="005E3C1D" w:rsidRDefault="001B1A7E" w:rsidP="004C4AEB">
      <w:pPr>
        <w:rPr>
          <w:rFonts w:ascii="Calibri" w:hAnsi="Calibri" w:cs="Calibri"/>
          <w:color w:val="000000"/>
        </w:rPr>
      </w:pPr>
      <w:r>
        <w:t>In</w:t>
      </w:r>
      <w:r w:rsidR="00BD41B9">
        <w:t xml:space="preserve"> some instances</w:t>
      </w:r>
      <w:r>
        <w:t>, the PSI</w:t>
      </w:r>
      <w:r w:rsidR="00BD41B9">
        <w:t xml:space="preserve"> may use a </w:t>
      </w:r>
      <w:r w:rsidR="00F9067B">
        <w:t xml:space="preserve">specific </w:t>
      </w:r>
      <w:r w:rsidR="00BD41B9">
        <w:t xml:space="preserve">selection process </w:t>
      </w:r>
      <w:r w:rsidR="4D8CA50F">
        <w:t xml:space="preserve">to </w:t>
      </w:r>
      <w:r w:rsidR="2682AC85">
        <w:t xml:space="preserve">target </w:t>
      </w:r>
      <w:r w:rsidR="4D8CA50F">
        <w:t>engage</w:t>
      </w:r>
      <w:r w:rsidR="120DFC94">
        <w:t>ment</w:t>
      </w:r>
      <w:r w:rsidR="4D8CA50F">
        <w:t xml:space="preserve"> with a cohort of the Panel </w:t>
      </w:r>
      <w:r w:rsidR="00BD41B9">
        <w:t xml:space="preserve">depending on the </w:t>
      </w:r>
      <w:r w:rsidR="00F9067B">
        <w:t>subject matter</w:t>
      </w:r>
      <w:r w:rsidR="00BD41B9">
        <w:t xml:space="preserve">. </w:t>
      </w:r>
      <w:r w:rsidR="00940522">
        <w:t xml:space="preserve"> </w:t>
      </w:r>
    </w:p>
    <w:p w14:paraId="4CC47F04" w14:textId="50BC6005" w:rsidR="00EE572C" w:rsidRPr="00394E74" w:rsidRDefault="00E1284F" w:rsidP="00508A25">
      <w:pPr>
        <w:pStyle w:val="Title"/>
        <w:rPr>
          <w:color w:val="008C95"/>
          <w:spacing w:val="0"/>
          <w:kern w:val="0"/>
        </w:rPr>
      </w:pPr>
      <w:r>
        <w:rPr>
          <w:color w:val="008C95"/>
          <w:spacing w:val="0"/>
          <w:kern w:val="0"/>
        </w:rPr>
        <w:t xml:space="preserve">Co-ordination </w:t>
      </w:r>
      <w:r w:rsidR="00DB7A4E" w:rsidRPr="00508A25">
        <w:rPr>
          <w:color w:val="008C95"/>
          <w:spacing w:val="0"/>
          <w:kern w:val="0"/>
        </w:rPr>
        <w:t>and Communication</w:t>
      </w:r>
    </w:p>
    <w:p w14:paraId="1FB279DE" w14:textId="51BF268D" w:rsidR="005C76B8" w:rsidRDefault="005A780C" w:rsidP="00EE572C">
      <w:r>
        <w:t>The</w:t>
      </w:r>
      <w:r w:rsidR="4DE40FF3">
        <w:t xml:space="preserve"> PSI’s</w:t>
      </w:r>
      <w:r>
        <w:t xml:space="preserve"> </w:t>
      </w:r>
      <w:r w:rsidR="00B30AE3">
        <w:t>Pharmacy Practice, Policy and Engagement</w:t>
      </w:r>
      <w:r>
        <w:t xml:space="preserve"> </w:t>
      </w:r>
      <w:r w:rsidR="008864CC">
        <w:t xml:space="preserve">team </w:t>
      </w:r>
      <w:r w:rsidR="008256C8">
        <w:t xml:space="preserve">lead </w:t>
      </w:r>
      <w:r w:rsidR="6DA92B04">
        <w:t xml:space="preserve">the </w:t>
      </w:r>
      <w:r w:rsidR="008256C8">
        <w:t>co-ordination</w:t>
      </w:r>
      <w:r w:rsidR="00474096">
        <w:t>,</w:t>
      </w:r>
      <w:r w:rsidR="008256C8">
        <w:t xml:space="preserve"> </w:t>
      </w:r>
      <w:r w:rsidR="47D24148">
        <w:t>and are the point of contact</w:t>
      </w:r>
      <w:r w:rsidR="00474096">
        <w:t>,</w:t>
      </w:r>
      <w:r w:rsidR="47D24148">
        <w:t xml:space="preserve"> </w:t>
      </w:r>
      <w:r w:rsidR="001E075B">
        <w:t>with</w:t>
      </w:r>
      <w:r>
        <w:t xml:space="preserve"> </w:t>
      </w:r>
      <w:r w:rsidR="001E075B">
        <w:t>the</w:t>
      </w:r>
      <w:r>
        <w:t xml:space="preserve"> PSI </w:t>
      </w:r>
      <w:r w:rsidR="00357E1B">
        <w:t>P</w:t>
      </w:r>
      <w:r>
        <w:t xml:space="preserve">harmacist </w:t>
      </w:r>
      <w:r w:rsidR="00357E1B">
        <w:t>P</w:t>
      </w:r>
      <w:r>
        <w:t>anel</w:t>
      </w:r>
      <w:r w:rsidR="7946E09F">
        <w:t xml:space="preserve">. </w:t>
      </w:r>
      <w:r w:rsidR="00307BD1">
        <w:t xml:space="preserve">Panel members can contact the team </w:t>
      </w:r>
      <w:r w:rsidR="00941D44">
        <w:t xml:space="preserve">by emailing </w:t>
      </w:r>
      <w:hyperlink r:id="rId12">
        <w:r w:rsidR="00941D44" w:rsidRPr="72264FF5">
          <w:rPr>
            <w:rStyle w:val="Hyperlink"/>
          </w:rPr>
          <w:t>communications@psi.ie</w:t>
        </w:r>
      </w:hyperlink>
      <w:r w:rsidR="00941D44">
        <w:t>.</w:t>
      </w:r>
    </w:p>
    <w:p w14:paraId="083BB0FC" w14:textId="311B820B" w:rsidR="004E2005" w:rsidRPr="00394E74" w:rsidRDefault="004E2005" w:rsidP="00508A25">
      <w:pPr>
        <w:rPr>
          <w:rFonts w:eastAsiaTheme="majorEastAsia" w:cstheme="majorBidi"/>
          <w:color w:val="008C95"/>
          <w:sz w:val="36"/>
          <w:szCs w:val="36"/>
        </w:rPr>
      </w:pPr>
      <w:r w:rsidRPr="00508A25">
        <w:rPr>
          <w:rFonts w:eastAsiaTheme="majorEastAsia" w:cstheme="majorBidi"/>
          <w:color w:val="008C95"/>
          <w:sz w:val="36"/>
          <w:szCs w:val="36"/>
        </w:rPr>
        <w:t>Administration</w:t>
      </w:r>
    </w:p>
    <w:p w14:paraId="7FCBABFE" w14:textId="44001940" w:rsidR="00EC3038" w:rsidRPr="00DC3074" w:rsidRDefault="00A179B4" w:rsidP="00A179B4">
      <w:pPr>
        <w:pStyle w:val="ListParagraph"/>
        <w:numPr>
          <w:ilvl w:val="0"/>
          <w:numId w:val="12"/>
        </w:numPr>
        <w:rPr>
          <w:rStyle w:val="normaltextrun"/>
          <w:rFonts w:ascii="Calibri" w:hAnsi="Calibri" w:cs="Calibri"/>
          <w:color w:val="000000"/>
        </w:rPr>
      </w:pPr>
      <w:r w:rsidRPr="15D4730D">
        <w:rPr>
          <w:rStyle w:val="normaltextrun"/>
          <w:rFonts w:ascii="Calibri" w:hAnsi="Calibri" w:cs="Calibri"/>
          <w:color w:val="000000" w:themeColor="text1"/>
        </w:rPr>
        <w:t xml:space="preserve">Email </w:t>
      </w:r>
      <w:r w:rsidR="003F5744">
        <w:rPr>
          <w:rStyle w:val="normaltextrun"/>
          <w:rFonts w:ascii="Calibri" w:hAnsi="Calibri" w:cs="Calibri"/>
          <w:color w:val="000000" w:themeColor="text1"/>
        </w:rPr>
        <w:t>is</w:t>
      </w:r>
      <w:r w:rsidRPr="15D4730D">
        <w:rPr>
          <w:rStyle w:val="normaltextrun"/>
          <w:rFonts w:ascii="Calibri" w:hAnsi="Calibri" w:cs="Calibri"/>
          <w:color w:val="000000" w:themeColor="text1"/>
        </w:rPr>
        <w:t xml:space="preserve"> the</w:t>
      </w:r>
      <w:r w:rsidR="003F5744">
        <w:rPr>
          <w:rStyle w:val="normaltextrun"/>
          <w:rFonts w:ascii="Calibri" w:hAnsi="Calibri" w:cs="Calibri"/>
          <w:color w:val="000000" w:themeColor="text1"/>
        </w:rPr>
        <w:t xml:space="preserve"> primary</w:t>
      </w:r>
      <w:r w:rsidRPr="15D4730D">
        <w:rPr>
          <w:rStyle w:val="normaltextrun"/>
          <w:rFonts w:ascii="Calibri" w:hAnsi="Calibri" w:cs="Calibri"/>
          <w:color w:val="000000" w:themeColor="text1"/>
        </w:rPr>
        <w:t xml:space="preserve"> method of communication with the Panel.  An email will be sent to all members </w:t>
      </w:r>
      <w:r w:rsidR="00EC3038" w:rsidRPr="15D4730D">
        <w:rPr>
          <w:rStyle w:val="normaltextrun"/>
          <w:rFonts w:ascii="Calibri" w:hAnsi="Calibri" w:cs="Calibri"/>
          <w:color w:val="000000" w:themeColor="text1"/>
        </w:rPr>
        <w:t>when their participation is requested</w:t>
      </w:r>
      <w:r w:rsidR="00040878">
        <w:rPr>
          <w:rStyle w:val="normaltextrun"/>
          <w:rFonts w:ascii="Calibri" w:hAnsi="Calibri" w:cs="Calibri"/>
          <w:color w:val="000000" w:themeColor="text1"/>
        </w:rPr>
        <w:t xml:space="preserve">, informing members about </w:t>
      </w:r>
      <w:r w:rsidRPr="15D4730D">
        <w:rPr>
          <w:rStyle w:val="normaltextrun"/>
          <w:rFonts w:ascii="Calibri" w:hAnsi="Calibri" w:cs="Calibri"/>
          <w:color w:val="000000" w:themeColor="text1"/>
        </w:rPr>
        <w:t xml:space="preserve">the type of </w:t>
      </w:r>
      <w:r w:rsidR="00EC3038" w:rsidRPr="15D4730D">
        <w:rPr>
          <w:rStyle w:val="normaltextrun"/>
          <w:rFonts w:ascii="Calibri" w:hAnsi="Calibri" w:cs="Calibri"/>
          <w:color w:val="000000" w:themeColor="text1"/>
        </w:rPr>
        <w:t>engagement</w:t>
      </w:r>
      <w:r w:rsidRPr="15D4730D">
        <w:rPr>
          <w:rStyle w:val="normaltextrun"/>
          <w:rFonts w:ascii="Calibri" w:hAnsi="Calibri" w:cs="Calibri"/>
          <w:color w:val="000000" w:themeColor="text1"/>
        </w:rPr>
        <w:t xml:space="preserve">, </w:t>
      </w:r>
      <w:r w:rsidR="00EC3038" w:rsidRPr="15D4730D">
        <w:rPr>
          <w:rStyle w:val="normaltextrun"/>
          <w:rFonts w:ascii="Calibri" w:hAnsi="Calibri" w:cs="Calibri"/>
          <w:color w:val="000000" w:themeColor="text1"/>
        </w:rPr>
        <w:t>nature of the request</w:t>
      </w:r>
      <w:r w:rsidR="003F5744">
        <w:rPr>
          <w:rStyle w:val="normaltextrun"/>
          <w:rFonts w:ascii="Calibri" w:hAnsi="Calibri" w:cs="Calibri"/>
          <w:color w:val="000000" w:themeColor="text1"/>
        </w:rPr>
        <w:t>/topic</w:t>
      </w:r>
      <w:r w:rsidRPr="15D4730D">
        <w:rPr>
          <w:rStyle w:val="normaltextrun"/>
          <w:rFonts w:ascii="Calibri" w:hAnsi="Calibri" w:cs="Calibri"/>
          <w:color w:val="000000" w:themeColor="text1"/>
        </w:rPr>
        <w:t xml:space="preserve"> and likely time commitment. </w:t>
      </w:r>
    </w:p>
    <w:p w14:paraId="7258942D" w14:textId="2E7E84E9" w:rsidR="00FE4A3A" w:rsidRDefault="00FE4A3A" w:rsidP="00A179B4">
      <w:pPr>
        <w:pStyle w:val="ListParagraph"/>
        <w:numPr>
          <w:ilvl w:val="0"/>
          <w:numId w:val="12"/>
        </w:num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The PSI </w:t>
      </w:r>
      <w:r w:rsidR="00B026DD">
        <w:rPr>
          <w:rStyle w:val="normaltextrun"/>
          <w:rFonts w:ascii="Calibri" w:hAnsi="Calibri" w:cs="Calibri"/>
          <w:color w:val="000000" w:themeColor="text1"/>
        </w:rPr>
        <w:t>expects there will be approximately four meetings or activities of the</w:t>
      </w:r>
      <w:r>
        <w:rPr>
          <w:rStyle w:val="normaltextrun"/>
          <w:rFonts w:ascii="Calibri" w:hAnsi="Calibri" w:cs="Calibri"/>
          <w:color w:val="000000" w:themeColor="text1"/>
        </w:rPr>
        <w:t xml:space="preserve"> Pharmacist Panel </w:t>
      </w:r>
      <w:r w:rsidR="00B026DD">
        <w:rPr>
          <w:rStyle w:val="normaltextrun"/>
          <w:rFonts w:ascii="Calibri" w:hAnsi="Calibri" w:cs="Calibri"/>
          <w:color w:val="000000" w:themeColor="text1"/>
        </w:rPr>
        <w:t xml:space="preserve">per year, although </w:t>
      </w:r>
      <w:r w:rsidR="00DA60E6">
        <w:rPr>
          <w:rStyle w:val="normaltextrun"/>
          <w:rFonts w:ascii="Calibri" w:hAnsi="Calibri" w:cs="Calibri"/>
          <w:color w:val="000000" w:themeColor="text1"/>
        </w:rPr>
        <w:t>ad hoc</w:t>
      </w:r>
      <w:r w:rsidR="00840D5A">
        <w:rPr>
          <w:rStyle w:val="normaltextrun"/>
          <w:rFonts w:ascii="Calibri" w:hAnsi="Calibri" w:cs="Calibri"/>
          <w:color w:val="000000" w:themeColor="text1"/>
        </w:rPr>
        <w:t xml:space="preserve"> activities </w:t>
      </w:r>
      <w:r w:rsidR="00B026DD">
        <w:rPr>
          <w:rStyle w:val="normaltextrun"/>
          <w:rFonts w:ascii="Calibri" w:hAnsi="Calibri" w:cs="Calibri"/>
          <w:color w:val="000000" w:themeColor="text1"/>
        </w:rPr>
        <w:t xml:space="preserve">may be organised </w:t>
      </w:r>
      <w:r w:rsidR="00840D5A">
        <w:rPr>
          <w:rStyle w:val="normaltextrun"/>
          <w:rFonts w:ascii="Calibri" w:hAnsi="Calibri" w:cs="Calibri"/>
          <w:color w:val="000000" w:themeColor="text1"/>
        </w:rPr>
        <w:t>as needed.</w:t>
      </w:r>
    </w:p>
    <w:p w14:paraId="59F1B8CE" w14:textId="71435E37" w:rsidR="00A179B4" w:rsidRPr="00DC3074" w:rsidRDefault="00A179B4" w:rsidP="00840D5A">
      <w:pPr>
        <w:pStyle w:val="ListParagraph"/>
        <w:numPr>
          <w:ilvl w:val="0"/>
          <w:numId w:val="12"/>
        </w:numPr>
        <w:rPr>
          <w:rStyle w:val="normaltextrun"/>
          <w:rFonts w:ascii="Calibri" w:hAnsi="Calibri" w:cs="Calibri"/>
          <w:color w:val="000000"/>
        </w:rPr>
      </w:pPr>
      <w:r w:rsidRPr="7A3C9353">
        <w:rPr>
          <w:rStyle w:val="normaltextrun"/>
          <w:rFonts w:ascii="Calibri" w:hAnsi="Calibri" w:cs="Calibri"/>
          <w:color w:val="000000" w:themeColor="text1"/>
        </w:rPr>
        <w:t xml:space="preserve">It is anticipated that </w:t>
      </w:r>
      <w:proofErr w:type="gramStart"/>
      <w:r w:rsidRPr="7A3C9353">
        <w:rPr>
          <w:rStyle w:val="normaltextrun"/>
          <w:rFonts w:ascii="Calibri" w:hAnsi="Calibri" w:cs="Calibri"/>
          <w:color w:val="000000" w:themeColor="text1"/>
        </w:rPr>
        <w:t>the majority of</w:t>
      </w:r>
      <w:proofErr w:type="gramEnd"/>
      <w:r w:rsidRPr="7A3C9353">
        <w:rPr>
          <w:rStyle w:val="normaltextrun"/>
          <w:rFonts w:ascii="Calibri" w:hAnsi="Calibri" w:cs="Calibri"/>
          <w:color w:val="000000" w:themeColor="text1"/>
        </w:rPr>
        <w:t xml:space="preserve"> activities will take place online, although in-person meetings may be scheduled for </w:t>
      </w:r>
      <w:proofErr w:type="gramStart"/>
      <w:r w:rsidRPr="7A3C9353">
        <w:rPr>
          <w:rStyle w:val="normaltextrun"/>
          <w:rFonts w:ascii="Calibri" w:hAnsi="Calibri" w:cs="Calibri"/>
          <w:color w:val="000000" w:themeColor="text1"/>
        </w:rPr>
        <w:t>particular purposes</w:t>
      </w:r>
      <w:proofErr w:type="gramEnd"/>
      <w:r w:rsidRPr="7A3C9353">
        <w:rPr>
          <w:rStyle w:val="normaltextrun"/>
          <w:rFonts w:ascii="Calibri" w:hAnsi="Calibri" w:cs="Calibri"/>
          <w:color w:val="000000" w:themeColor="text1"/>
        </w:rPr>
        <w:t>.</w:t>
      </w:r>
      <w:r w:rsidR="00A0094B" w:rsidRPr="7A3C9353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96A5F" w:rsidRPr="7A3C9353">
        <w:rPr>
          <w:rStyle w:val="normaltextrun"/>
          <w:rFonts w:ascii="Calibri" w:hAnsi="Calibri" w:cs="Calibri"/>
          <w:color w:val="000000" w:themeColor="text1"/>
        </w:rPr>
        <w:t xml:space="preserve">The PSI appreciates pharmacists on the panel giving up their time to attend and will ensure meetings </w:t>
      </w:r>
      <w:r w:rsidR="00197350" w:rsidRPr="7A3C9353">
        <w:rPr>
          <w:rStyle w:val="normaltextrun"/>
          <w:rFonts w:ascii="Calibri" w:hAnsi="Calibri" w:cs="Calibri"/>
          <w:color w:val="000000" w:themeColor="text1"/>
        </w:rPr>
        <w:t>will be no longer than required</w:t>
      </w:r>
      <w:r w:rsidR="00F20552" w:rsidRPr="7A3C9353">
        <w:rPr>
          <w:rStyle w:val="normaltextrun"/>
          <w:rFonts w:ascii="Calibri" w:hAnsi="Calibri" w:cs="Calibri"/>
          <w:color w:val="000000" w:themeColor="text1"/>
        </w:rPr>
        <w:t xml:space="preserve"> and will end strictly on time.</w:t>
      </w:r>
      <w:r w:rsidR="00840D5A" w:rsidRPr="7A3C9353">
        <w:rPr>
          <w:rStyle w:val="normaltextrun"/>
          <w:rFonts w:ascii="Calibri" w:hAnsi="Calibri" w:cs="Calibri"/>
          <w:color w:val="000000" w:themeColor="text1"/>
        </w:rPr>
        <w:t xml:space="preserve">  </w:t>
      </w:r>
    </w:p>
    <w:p w14:paraId="6A284620" w14:textId="61E4F10E" w:rsidR="00A179B4" w:rsidRPr="00DC3074" w:rsidRDefault="44988FA9" w:rsidP="00840D5A">
      <w:pPr>
        <w:pStyle w:val="ListParagraph"/>
        <w:numPr>
          <w:ilvl w:val="0"/>
          <w:numId w:val="12"/>
        </w:numPr>
        <w:rPr>
          <w:rStyle w:val="normaltextrun"/>
          <w:rFonts w:ascii="Calibri" w:hAnsi="Calibri" w:cs="Calibri"/>
          <w:color w:val="000000"/>
        </w:rPr>
      </w:pPr>
      <w:r w:rsidRPr="7A3C9353">
        <w:rPr>
          <w:rStyle w:val="normaltextrun"/>
          <w:rFonts w:ascii="Calibri" w:hAnsi="Calibri" w:cs="Calibri"/>
          <w:color w:val="000000" w:themeColor="text1"/>
        </w:rPr>
        <w:t>Participation in the Pharmacist Panel is voluntary.</w:t>
      </w:r>
    </w:p>
    <w:p w14:paraId="4835DEAD" w14:textId="4FAA7C68" w:rsidR="00A179B4" w:rsidRPr="00DC3074" w:rsidRDefault="00840D5A" w:rsidP="00840D5A">
      <w:pPr>
        <w:pStyle w:val="ListParagraph"/>
        <w:numPr>
          <w:ilvl w:val="0"/>
          <w:numId w:val="12"/>
        </w:numPr>
        <w:rPr>
          <w:rStyle w:val="normaltextrun"/>
          <w:rFonts w:ascii="Calibri" w:hAnsi="Calibri" w:cs="Calibri"/>
          <w:color w:val="000000"/>
        </w:rPr>
      </w:pPr>
      <w:r w:rsidRPr="7A3C9353">
        <w:rPr>
          <w:rFonts w:ascii="Calibri" w:hAnsi="Calibri" w:cs="Calibri"/>
          <w:color w:val="000000" w:themeColor="text1"/>
        </w:rPr>
        <w:t xml:space="preserve">Where activities are held in person, the PSI commits to reimbursement of </w:t>
      </w:r>
      <w:r w:rsidR="00C101EC">
        <w:rPr>
          <w:rFonts w:ascii="Calibri" w:hAnsi="Calibri" w:cs="Calibri"/>
          <w:color w:val="000000" w:themeColor="text1"/>
        </w:rPr>
        <w:t>t</w:t>
      </w:r>
      <w:r w:rsidRPr="7A3C9353">
        <w:rPr>
          <w:rFonts w:ascii="Calibri" w:hAnsi="Calibri" w:cs="Calibri"/>
          <w:color w:val="000000" w:themeColor="text1"/>
        </w:rPr>
        <w:t xml:space="preserve">ravel and </w:t>
      </w:r>
      <w:r w:rsidR="00C101EC">
        <w:rPr>
          <w:rFonts w:ascii="Calibri" w:hAnsi="Calibri" w:cs="Calibri"/>
          <w:color w:val="000000" w:themeColor="text1"/>
        </w:rPr>
        <w:t>s</w:t>
      </w:r>
      <w:r w:rsidRPr="7A3C9353">
        <w:rPr>
          <w:rFonts w:ascii="Calibri" w:hAnsi="Calibri" w:cs="Calibri"/>
          <w:color w:val="000000" w:themeColor="text1"/>
        </w:rPr>
        <w:t xml:space="preserve">ubsistence expenses (where applicable) in line with the </w:t>
      </w:r>
      <w:r w:rsidR="004B421C" w:rsidRPr="00C101EC">
        <w:t>PSI Travel and Subsistence policy and government policy.</w:t>
      </w:r>
    </w:p>
    <w:p w14:paraId="12344F19" w14:textId="23151A5D" w:rsidR="00FB2099" w:rsidRDefault="00FB2099" w:rsidP="00A179B4">
      <w:pPr>
        <w:pStyle w:val="ListParagraph"/>
        <w:numPr>
          <w:ilvl w:val="0"/>
          <w:numId w:val="12"/>
        </w:num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The PSI may </w:t>
      </w:r>
      <w:r w:rsidR="000E1E07">
        <w:rPr>
          <w:rStyle w:val="normaltextrun"/>
          <w:rFonts w:ascii="Calibri" w:hAnsi="Calibri" w:cs="Calibri"/>
          <w:color w:val="000000" w:themeColor="text1"/>
        </w:rPr>
        <w:t>keep records of meetings to ensure vital feedback is not missed</w:t>
      </w:r>
      <w:r w:rsidR="00C84AE1">
        <w:rPr>
          <w:rStyle w:val="normaltextrun"/>
          <w:rFonts w:ascii="Calibri" w:hAnsi="Calibri" w:cs="Calibri"/>
          <w:color w:val="000000" w:themeColor="text1"/>
        </w:rPr>
        <w:t>.</w:t>
      </w:r>
      <w:r w:rsidR="00C84AE1">
        <w:rPr>
          <w:rStyle w:val="normaltextrun"/>
          <w:rFonts w:ascii="Calibri" w:hAnsi="Calibri" w:cs="Calibri"/>
          <w:color w:val="000000"/>
        </w:rPr>
        <w:t xml:space="preserve"> The PSI will ensure compliance with relevant data protection legislation and w</w:t>
      </w:r>
      <w:r w:rsidR="00EE53AA">
        <w:rPr>
          <w:rStyle w:val="normaltextrun"/>
          <w:rFonts w:ascii="Calibri" w:hAnsi="Calibri" w:cs="Calibri"/>
          <w:color w:val="000000"/>
        </w:rPr>
        <w:t>ill store and maintain records of meetings appropriately.</w:t>
      </w:r>
    </w:p>
    <w:p w14:paraId="6BF9F36B" w14:textId="37E2FB47" w:rsidR="008110C6" w:rsidRDefault="009B162A" w:rsidP="00A179B4">
      <w:pPr>
        <w:pStyle w:val="ListParagraph"/>
        <w:numPr>
          <w:ilvl w:val="0"/>
          <w:numId w:val="12"/>
        </w:num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These Terms of Reference will </w:t>
      </w:r>
      <w:r w:rsidR="00F83F4D">
        <w:rPr>
          <w:rStyle w:val="normaltextrun"/>
          <w:rFonts w:ascii="Calibri" w:hAnsi="Calibri" w:cs="Calibri"/>
          <w:color w:val="000000"/>
        </w:rPr>
        <w:t xml:space="preserve">be </w:t>
      </w:r>
      <w:r>
        <w:rPr>
          <w:rStyle w:val="normaltextrun"/>
          <w:rFonts w:ascii="Calibri" w:hAnsi="Calibri" w:cs="Calibri"/>
          <w:color w:val="000000"/>
        </w:rPr>
        <w:t>review</w:t>
      </w:r>
      <w:r w:rsidR="00C10A77">
        <w:rPr>
          <w:rStyle w:val="normaltextrun"/>
          <w:rFonts w:ascii="Calibri" w:hAnsi="Calibri" w:cs="Calibri"/>
          <w:color w:val="000000"/>
        </w:rPr>
        <w:t>ed as needed</w:t>
      </w:r>
      <w:r w:rsidR="008110C6">
        <w:rPr>
          <w:rStyle w:val="normaltextrun"/>
          <w:rFonts w:ascii="Calibri" w:hAnsi="Calibri" w:cs="Calibri"/>
          <w:color w:val="000000"/>
        </w:rPr>
        <w:t xml:space="preserve"> or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 w:rsidR="008110C6">
        <w:rPr>
          <w:rStyle w:val="normaltextrun"/>
          <w:rFonts w:ascii="Calibri" w:hAnsi="Calibri" w:cs="Calibri"/>
          <w:color w:val="000000"/>
        </w:rPr>
        <w:t>at</w:t>
      </w:r>
      <w:r>
        <w:rPr>
          <w:rStyle w:val="normaltextrun"/>
          <w:rFonts w:ascii="Calibri" w:hAnsi="Calibri" w:cs="Calibri"/>
          <w:color w:val="000000"/>
        </w:rPr>
        <w:t xml:space="preserve"> two</w:t>
      </w:r>
      <w:r w:rsidR="00816A29">
        <w:rPr>
          <w:rStyle w:val="normaltextrun"/>
          <w:rFonts w:ascii="Calibri" w:hAnsi="Calibri" w:cs="Calibri"/>
          <w:color w:val="000000"/>
        </w:rPr>
        <w:t>-</w:t>
      </w:r>
      <w:r>
        <w:rPr>
          <w:rStyle w:val="normaltextrun"/>
          <w:rFonts w:ascii="Calibri" w:hAnsi="Calibri" w:cs="Calibri"/>
          <w:color w:val="000000"/>
        </w:rPr>
        <w:t>year</w:t>
      </w:r>
      <w:r w:rsidR="008110C6">
        <w:rPr>
          <w:rStyle w:val="normaltextrun"/>
          <w:rFonts w:ascii="Calibri" w:hAnsi="Calibri" w:cs="Calibri"/>
          <w:color w:val="000000"/>
        </w:rPr>
        <w:t xml:space="preserve"> interval</w:t>
      </w:r>
      <w:r>
        <w:rPr>
          <w:rStyle w:val="normaltextrun"/>
          <w:rFonts w:ascii="Calibri" w:hAnsi="Calibri" w:cs="Calibri"/>
          <w:color w:val="000000"/>
        </w:rPr>
        <w:t>s.</w:t>
      </w:r>
    </w:p>
    <w:p w14:paraId="1A5A7FF2" w14:textId="57A70EE4" w:rsidR="009B162A" w:rsidRPr="00C101EC" w:rsidRDefault="008110C6" w:rsidP="00C101EC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br w:type="page"/>
      </w:r>
    </w:p>
    <w:tbl>
      <w:tblPr>
        <w:tblpPr w:leftFromText="180" w:rightFromText="180" w:vertAnchor="text" w:horzAnchor="margin" w:tblpY="296"/>
        <w:tblW w:w="9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108"/>
        <w:gridCol w:w="1776"/>
        <w:gridCol w:w="2578"/>
        <w:gridCol w:w="1770"/>
      </w:tblGrid>
      <w:tr w:rsidR="00D4587D" w:rsidRPr="006A3A46" w14:paraId="5349A808" w14:textId="77777777" w:rsidTr="00D4587D">
        <w:trPr>
          <w:trHeight w:val="420"/>
        </w:trPr>
        <w:tc>
          <w:tcPr>
            <w:tcW w:w="9160" w:type="dxa"/>
            <w:gridSpan w:val="5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shd w:val="clear" w:color="auto" w:fill="008C95"/>
            <w:hideMark/>
          </w:tcPr>
          <w:p w14:paraId="5AADA96D" w14:textId="6F7D37E1" w:rsidR="00D4587D" w:rsidRPr="006A3A46" w:rsidRDefault="00D4587D" w:rsidP="00D4587D">
            <w:r w:rsidRPr="00394E74">
              <w:rPr>
                <w:b/>
                <w:bCs/>
                <w:color w:val="FFFFFF" w:themeColor="background1"/>
              </w:rPr>
              <w:lastRenderedPageBreak/>
              <w:t>Version control table</w:t>
            </w:r>
            <w:r w:rsidRPr="00394E74">
              <w:rPr>
                <w:color w:val="FFFFFF" w:themeColor="background1"/>
              </w:rPr>
              <w:t> </w:t>
            </w:r>
          </w:p>
        </w:tc>
      </w:tr>
      <w:tr w:rsidR="00D4587D" w:rsidRPr="006A3A46" w14:paraId="607BC3C1" w14:textId="77777777" w:rsidTr="00D4587D">
        <w:trPr>
          <w:trHeight w:val="300"/>
        </w:trPr>
        <w:tc>
          <w:tcPr>
            <w:tcW w:w="3036" w:type="dxa"/>
            <w:gridSpan w:val="2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4BC00C94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Document title  </w:t>
            </w:r>
          </w:p>
        </w:tc>
        <w:tc>
          <w:tcPr>
            <w:tcW w:w="6124" w:type="dxa"/>
            <w:gridSpan w:val="3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21AF6328" w14:textId="77777777" w:rsidR="00D4587D" w:rsidRPr="006A3A46" w:rsidRDefault="00D4587D" w:rsidP="00D4587D">
            <w:r>
              <w:t>PSI Pharmacist Panel:</w:t>
            </w:r>
            <w:r w:rsidRPr="006A3A46">
              <w:t xml:space="preserve"> Terms of reference </w:t>
            </w:r>
          </w:p>
        </w:tc>
      </w:tr>
      <w:tr w:rsidR="00D4587D" w:rsidRPr="006A3A46" w14:paraId="52B2F107" w14:textId="77777777" w:rsidTr="00D4587D">
        <w:trPr>
          <w:trHeight w:val="300"/>
        </w:trPr>
        <w:tc>
          <w:tcPr>
            <w:tcW w:w="3036" w:type="dxa"/>
            <w:gridSpan w:val="2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0711B53C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File name </w:t>
            </w:r>
          </w:p>
        </w:tc>
        <w:tc>
          <w:tcPr>
            <w:tcW w:w="6124" w:type="dxa"/>
            <w:gridSpan w:val="3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4D626469" w14:textId="77777777" w:rsidR="00D4587D" w:rsidRPr="006A3A46" w:rsidRDefault="00D4587D" w:rsidP="00D4587D">
            <w:r>
              <w:t>Terms of Reference for PSI Pharmacist Panel</w:t>
            </w:r>
            <w:r w:rsidRPr="006A3A46">
              <w:t> </w:t>
            </w:r>
          </w:p>
        </w:tc>
      </w:tr>
      <w:tr w:rsidR="00D4587D" w:rsidRPr="006A3A46" w14:paraId="1B322096" w14:textId="77777777" w:rsidTr="00D4587D">
        <w:trPr>
          <w:trHeight w:val="300"/>
        </w:trPr>
        <w:tc>
          <w:tcPr>
            <w:tcW w:w="3036" w:type="dxa"/>
            <w:gridSpan w:val="2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35D56E10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Description  </w:t>
            </w:r>
          </w:p>
        </w:tc>
        <w:tc>
          <w:tcPr>
            <w:tcW w:w="6124" w:type="dxa"/>
            <w:gridSpan w:val="3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57EC3174" w14:textId="3EF314C0" w:rsidR="00D4587D" w:rsidRPr="006A3A46" w:rsidRDefault="00D4587D" w:rsidP="00D4587D">
            <w:r w:rsidRPr="006A3A46">
              <w:t xml:space="preserve">Terms of reference for the </w:t>
            </w:r>
            <w:r w:rsidR="00011390">
              <w:t>PSI Pharmacist Panel</w:t>
            </w:r>
            <w:r w:rsidR="0028227A">
              <w:t>, outlining purpose, membership and administration.</w:t>
            </w:r>
          </w:p>
        </w:tc>
      </w:tr>
      <w:tr w:rsidR="00D4587D" w:rsidRPr="006A3A46" w14:paraId="2EF33060" w14:textId="77777777" w:rsidTr="00D4587D">
        <w:trPr>
          <w:trHeight w:val="300"/>
        </w:trPr>
        <w:tc>
          <w:tcPr>
            <w:tcW w:w="3036" w:type="dxa"/>
            <w:gridSpan w:val="2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6D18CE1E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Created and maintained by </w:t>
            </w:r>
          </w:p>
        </w:tc>
        <w:tc>
          <w:tcPr>
            <w:tcW w:w="6124" w:type="dxa"/>
            <w:gridSpan w:val="3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6BA83481" w14:textId="42C2FE86" w:rsidR="00D4587D" w:rsidRPr="006A3A46" w:rsidRDefault="00EE5B9B" w:rsidP="00D4587D">
            <w:r>
              <w:t>Pharmacy Practice, Policy and Engagement</w:t>
            </w:r>
            <w:r w:rsidR="00D4587D" w:rsidRPr="006A3A46">
              <w:t> </w:t>
            </w:r>
          </w:p>
        </w:tc>
      </w:tr>
      <w:tr w:rsidR="00D4587D" w:rsidRPr="006A3A46" w14:paraId="0A37B34E" w14:textId="77777777" w:rsidTr="00D4587D">
        <w:trPr>
          <w:trHeight w:val="165"/>
        </w:trPr>
        <w:tc>
          <w:tcPr>
            <w:tcW w:w="3036" w:type="dxa"/>
            <w:gridSpan w:val="2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4293A1ED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Date created </w:t>
            </w:r>
          </w:p>
        </w:tc>
        <w:tc>
          <w:tcPr>
            <w:tcW w:w="6124" w:type="dxa"/>
            <w:gridSpan w:val="3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34B7CCC7" w14:textId="77777777" w:rsidR="00D4587D" w:rsidRPr="006A3A46" w:rsidRDefault="00D4587D" w:rsidP="00D4587D">
            <w:r>
              <w:t>2 August 2024</w:t>
            </w:r>
            <w:r w:rsidRPr="006A3A46">
              <w:t> </w:t>
            </w:r>
          </w:p>
        </w:tc>
      </w:tr>
      <w:tr w:rsidR="00D4587D" w:rsidRPr="006A3A46" w14:paraId="670288A0" w14:textId="77777777" w:rsidTr="006A0CA6">
        <w:trPr>
          <w:trHeight w:val="60"/>
        </w:trPr>
        <w:tc>
          <w:tcPr>
            <w:tcW w:w="92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15E675FB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Version </w:t>
            </w:r>
          </w:p>
        </w:tc>
        <w:tc>
          <w:tcPr>
            <w:tcW w:w="210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4548CBF7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Modified by </w:t>
            </w:r>
          </w:p>
        </w:tc>
        <w:tc>
          <w:tcPr>
            <w:tcW w:w="1776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14C59BE6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Approved by </w:t>
            </w:r>
          </w:p>
        </w:tc>
        <w:tc>
          <w:tcPr>
            <w:tcW w:w="257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7BFA7FDF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Description </w:t>
            </w:r>
          </w:p>
        </w:tc>
        <w:tc>
          <w:tcPr>
            <w:tcW w:w="1770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  <w:hideMark/>
          </w:tcPr>
          <w:p w14:paraId="54088C7D" w14:textId="77777777" w:rsidR="00D4587D" w:rsidRPr="00394E74" w:rsidRDefault="00D4587D" w:rsidP="00D4587D">
            <w:pPr>
              <w:rPr>
                <w:b/>
                <w:bCs/>
              </w:rPr>
            </w:pPr>
            <w:r w:rsidRPr="00394E74">
              <w:rPr>
                <w:b/>
                <w:bCs/>
              </w:rPr>
              <w:t>Last modified </w:t>
            </w:r>
          </w:p>
        </w:tc>
      </w:tr>
      <w:tr w:rsidR="00D4587D" w:rsidRPr="006A3A46" w14:paraId="0E9E47B1" w14:textId="77777777" w:rsidTr="006A0CA6">
        <w:trPr>
          <w:trHeight w:val="420"/>
        </w:trPr>
        <w:tc>
          <w:tcPr>
            <w:tcW w:w="92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67404D92" w14:textId="00DF6C69" w:rsidR="00D4587D" w:rsidRPr="006A3A46" w:rsidRDefault="006127EA" w:rsidP="00D4587D">
            <w:r>
              <w:t>1.0</w:t>
            </w:r>
          </w:p>
        </w:tc>
        <w:tc>
          <w:tcPr>
            <w:tcW w:w="210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28ECC603" w14:textId="77777777" w:rsidR="00D4587D" w:rsidRPr="006A3A46" w:rsidRDefault="00D4587D" w:rsidP="00D4587D"/>
        </w:tc>
        <w:tc>
          <w:tcPr>
            <w:tcW w:w="1776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1E75311E" w14:textId="4545B3B4" w:rsidR="00D4587D" w:rsidRPr="006A3A46" w:rsidRDefault="00816A29" w:rsidP="00D4587D">
            <w:r>
              <w:t xml:space="preserve">PSI </w:t>
            </w:r>
            <w:r w:rsidR="006A0CA6">
              <w:t xml:space="preserve">Expansion of Pharmacy </w:t>
            </w:r>
            <w:r w:rsidR="002229F4">
              <w:t>S</w:t>
            </w:r>
            <w:r w:rsidR="006A0CA6">
              <w:t xml:space="preserve">ervices Working </w:t>
            </w:r>
            <w:r w:rsidR="002229F4">
              <w:t>G</w:t>
            </w:r>
            <w:r w:rsidR="006A0CA6">
              <w:t>roup</w:t>
            </w:r>
          </w:p>
        </w:tc>
        <w:tc>
          <w:tcPr>
            <w:tcW w:w="257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10E9FF14" w14:textId="77777777" w:rsidR="00D4587D" w:rsidRPr="006A3A46" w:rsidRDefault="00D4587D" w:rsidP="00D4587D"/>
        </w:tc>
        <w:tc>
          <w:tcPr>
            <w:tcW w:w="1770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7BEB5810" w14:textId="02FF9636" w:rsidR="00D4587D" w:rsidRPr="006A3A46" w:rsidRDefault="00D36AE4" w:rsidP="00D4587D">
            <w:r>
              <w:t>August 2024</w:t>
            </w:r>
          </w:p>
        </w:tc>
      </w:tr>
      <w:tr w:rsidR="00DF1099" w:rsidRPr="006A3A46" w14:paraId="119AB57C" w14:textId="77777777" w:rsidTr="006A0CA6">
        <w:trPr>
          <w:trHeight w:val="420"/>
        </w:trPr>
        <w:tc>
          <w:tcPr>
            <w:tcW w:w="92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4336A8AE" w14:textId="3F7C9DC8" w:rsidR="00DF1099" w:rsidRDefault="00D36AE4" w:rsidP="00D4587D">
            <w:r>
              <w:t>2.0</w:t>
            </w:r>
          </w:p>
        </w:tc>
        <w:tc>
          <w:tcPr>
            <w:tcW w:w="210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22F1EFCF" w14:textId="27254860" w:rsidR="00DF1099" w:rsidRPr="006A3A46" w:rsidRDefault="00EE58D5" w:rsidP="00D4587D">
            <w:r>
              <w:t xml:space="preserve">Pharmacy Practice, Policy and Engagement </w:t>
            </w:r>
          </w:p>
        </w:tc>
        <w:tc>
          <w:tcPr>
            <w:tcW w:w="1776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36898E73" w14:textId="12B26A3D" w:rsidR="00DF1099" w:rsidRDefault="00816A29" w:rsidP="00D4587D">
            <w:r>
              <w:t xml:space="preserve">PSI </w:t>
            </w:r>
            <w:r w:rsidR="001E232C">
              <w:t>E</w:t>
            </w:r>
            <w:r w:rsidR="00A7734C">
              <w:t xml:space="preserve">xecutive </w:t>
            </w:r>
            <w:r w:rsidR="001E232C">
              <w:t>L</w:t>
            </w:r>
            <w:r w:rsidR="00A7734C">
              <w:t xml:space="preserve">eadership </w:t>
            </w:r>
            <w:r w:rsidR="001E232C">
              <w:t>T</w:t>
            </w:r>
            <w:r w:rsidR="00A7734C">
              <w:t>eam</w:t>
            </w:r>
          </w:p>
        </w:tc>
        <w:tc>
          <w:tcPr>
            <w:tcW w:w="2578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562A98BC" w14:textId="51F37900" w:rsidR="00DF1099" w:rsidRPr="006A3A46" w:rsidRDefault="00545744" w:rsidP="00D4587D">
            <w:r>
              <w:t xml:space="preserve">Minor </w:t>
            </w:r>
            <w:r w:rsidR="002229F4">
              <w:t>updates</w:t>
            </w:r>
          </w:p>
        </w:tc>
        <w:tc>
          <w:tcPr>
            <w:tcW w:w="1770" w:type="dxa"/>
            <w:tcBorders>
              <w:top w:val="single" w:sz="6" w:space="0" w:color="008C95"/>
              <w:left w:val="single" w:sz="6" w:space="0" w:color="008C95"/>
              <w:bottom w:val="single" w:sz="6" w:space="0" w:color="008C95"/>
              <w:right w:val="single" w:sz="6" w:space="0" w:color="008C95"/>
            </w:tcBorders>
          </w:tcPr>
          <w:p w14:paraId="3B323EA9" w14:textId="56A3672F" w:rsidR="00DF1099" w:rsidRPr="006A3A46" w:rsidRDefault="00D36AE4" w:rsidP="00D4587D">
            <w:r>
              <w:t>April</w:t>
            </w:r>
            <w:r w:rsidR="009641B7">
              <w:t xml:space="preserve"> 2026</w:t>
            </w:r>
          </w:p>
        </w:tc>
      </w:tr>
    </w:tbl>
    <w:p w14:paraId="71748A26" w14:textId="77777777" w:rsidR="004E2005" w:rsidRDefault="004E2005" w:rsidP="00611FF2"/>
    <w:p w14:paraId="460F2A35" w14:textId="77777777" w:rsidR="00173DE2" w:rsidRDefault="00173DE2" w:rsidP="00EE572C"/>
    <w:p w14:paraId="3314D83D" w14:textId="7D7F3F1A" w:rsidR="00173DE2" w:rsidRDefault="00173DE2" w:rsidP="006A3A46"/>
    <w:sectPr w:rsidR="00173DE2" w:rsidSect="00F325CF">
      <w:footerReference w:type="default" r:id="rId13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9120" w14:textId="77777777" w:rsidR="00E03B62" w:rsidRDefault="00E03B62" w:rsidP="00486E11">
      <w:pPr>
        <w:spacing w:after="0" w:line="240" w:lineRule="auto"/>
      </w:pPr>
      <w:r>
        <w:separator/>
      </w:r>
    </w:p>
  </w:endnote>
  <w:endnote w:type="continuationSeparator" w:id="0">
    <w:p w14:paraId="6445A7AE" w14:textId="77777777" w:rsidR="00E03B62" w:rsidRDefault="00E03B62" w:rsidP="00486E11">
      <w:pPr>
        <w:spacing w:after="0" w:line="240" w:lineRule="auto"/>
      </w:pPr>
      <w:r>
        <w:continuationSeparator/>
      </w:r>
    </w:p>
  </w:endnote>
  <w:endnote w:type="continuationNotice" w:id="1">
    <w:p w14:paraId="7FC097DD" w14:textId="77777777" w:rsidR="00E03B62" w:rsidRDefault="00E03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174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577E9" w14:textId="17ABE159" w:rsidR="00486E11" w:rsidRDefault="003C306C">
        <w:pPr>
          <w:pStyle w:val="Footer"/>
          <w:jc w:val="right"/>
        </w:pPr>
        <w:r>
          <w:t>V</w:t>
        </w:r>
        <w:r w:rsidR="00D36AE4">
          <w:t>2</w:t>
        </w:r>
        <w:r w:rsidR="00B324EA">
          <w:t>.0</w:t>
        </w:r>
        <w:r>
          <w:t>,</w:t>
        </w:r>
        <w:r w:rsidR="00D96C9A">
          <w:t xml:space="preserve"> 202</w:t>
        </w:r>
        <w:r w:rsidR="00D36AE4">
          <w:t>6</w:t>
        </w:r>
      </w:p>
    </w:sdtContent>
  </w:sdt>
  <w:p w14:paraId="49661D74" w14:textId="1F6233C9" w:rsidR="00486E11" w:rsidRDefault="00D96C9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6BD1" w14:textId="77777777" w:rsidR="00E03B62" w:rsidRDefault="00E03B62" w:rsidP="00486E11">
      <w:pPr>
        <w:spacing w:after="0" w:line="240" w:lineRule="auto"/>
      </w:pPr>
      <w:r>
        <w:separator/>
      </w:r>
    </w:p>
  </w:footnote>
  <w:footnote w:type="continuationSeparator" w:id="0">
    <w:p w14:paraId="2139ECE9" w14:textId="77777777" w:rsidR="00E03B62" w:rsidRDefault="00E03B62" w:rsidP="00486E11">
      <w:pPr>
        <w:spacing w:after="0" w:line="240" w:lineRule="auto"/>
      </w:pPr>
      <w:r>
        <w:continuationSeparator/>
      </w:r>
    </w:p>
  </w:footnote>
  <w:footnote w:type="continuationNotice" w:id="1">
    <w:p w14:paraId="7F8FEEFE" w14:textId="77777777" w:rsidR="00E03B62" w:rsidRDefault="00E03B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5D2"/>
    <w:multiLevelType w:val="multilevel"/>
    <w:tmpl w:val="9CE43F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07D9D"/>
    <w:multiLevelType w:val="hybridMultilevel"/>
    <w:tmpl w:val="69A8E8E0"/>
    <w:lvl w:ilvl="0" w:tplc="1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1702D"/>
    <w:multiLevelType w:val="hybridMultilevel"/>
    <w:tmpl w:val="B7C81E2C"/>
    <w:lvl w:ilvl="0" w:tplc="1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70424"/>
    <w:multiLevelType w:val="hybridMultilevel"/>
    <w:tmpl w:val="284649F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E2062"/>
    <w:multiLevelType w:val="multilevel"/>
    <w:tmpl w:val="2C96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B2FF0"/>
    <w:multiLevelType w:val="hybridMultilevel"/>
    <w:tmpl w:val="1CE60566"/>
    <w:lvl w:ilvl="0" w:tplc="DAE41D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72B61"/>
    <w:multiLevelType w:val="hybridMultilevel"/>
    <w:tmpl w:val="B8A88A6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775F1"/>
    <w:multiLevelType w:val="hybridMultilevel"/>
    <w:tmpl w:val="1CEE4B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65B"/>
    <w:multiLevelType w:val="hybridMultilevel"/>
    <w:tmpl w:val="CEA2D8CA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292BFB"/>
    <w:multiLevelType w:val="hybridMultilevel"/>
    <w:tmpl w:val="F66055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23823"/>
    <w:multiLevelType w:val="hybridMultilevel"/>
    <w:tmpl w:val="F66055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5940"/>
    <w:multiLevelType w:val="hybridMultilevel"/>
    <w:tmpl w:val="52C6F1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05146">
    <w:abstractNumId w:val="7"/>
  </w:num>
  <w:num w:numId="2" w16cid:durableId="966475067">
    <w:abstractNumId w:val="2"/>
  </w:num>
  <w:num w:numId="3" w16cid:durableId="494103283">
    <w:abstractNumId w:val="1"/>
  </w:num>
  <w:num w:numId="4" w16cid:durableId="330376985">
    <w:abstractNumId w:val="9"/>
  </w:num>
  <w:num w:numId="5" w16cid:durableId="1116562040">
    <w:abstractNumId w:val="8"/>
  </w:num>
  <w:num w:numId="6" w16cid:durableId="45952704">
    <w:abstractNumId w:val="5"/>
  </w:num>
  <w:num w:numId="7" w16cid:durableId="417364546">
    <w:abstractNumId w:val="0"/>
  </w:num>
  <w:num w:numId="8" w16cid:durableId="1208493551">
    <w:abstractNumId w:val="6"/>
  </w:num>
  <w:num w:numId="9" w16cid:durableId="2082018877">
    <w:abstractNumId w:val="3"/>
  </w:num>
  <w:num w:numId="10" w16cid:durableId="962080272">
    <w:abstractNumId w:val="10"/>
  </w:num>
  <w:num w:numId="11" w16cid:durableId="527565617">
    <w:abstractNumId w:val="4"/>
  </w:num>
  <w:num w:numId="12" w16cid:durableId="1312830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2C"/>
    <w:rsid w:val="00002C77"/>
    <w:rsid w:val="00003A23"/>
    <w:rsid w:val="00007C9D"/>
    <w:rsid w:val="00010D8E"/>
    <w:rsid w:val="00011390"/>
    <w:rsid w:val="0001701B"/>
    <w:rsid w:val="00017A12"/>
    <w:rsid w:val="000227AF"/>
    <w:rsid w:val="00024315"/>
    <w:rsid w:val="00030741"/>
    <w:rsid w:val="00036B20"/>
    <w:rsid w:val="00040878"/>
    <w:rsid w:val="0004449D"/>
    <w:rsid w:val="00057B86"/>
    <w:rsid w:val="00063C22"/>
    <w:rsid w:val="0006632C"/>
    <w:rsid w:val="000665FD"/>
    <w:rsid w:val="000775B7"/>
    <w:rsid w:val="0008197E"/>
    <w:rsid w:val="000836C0"/>
    <w:rsid w:val="00084E3D"/>
    <w:rsid w:val="0008553A"/>
    <w:rsid w:val="00091AAE"/>
    <w:rsid w:val="000A35FE"/>
    <w:rsid w:val="000B6176"/>
    <w:rsid w:val="000B76C7"/>
    <w:rsid w:val="000C074F"/>
    <w:rsid w:val="000C5772"/>
    <w:rsid w:val="000D4419"/>
    <w:rsid w:val="000E1E07"/>
    <w:rsid w:val="000E48A6"/>
    <w:rsid w:val="000F5A09"/>
    <w:rsid w:val="00101DDC"/>
    <w:rsid w:val="001074B4"/>
    <w:rsid w:val="00113544"/>
    <w:rsid w:val="00114522"/>
    <w:rsid w:val="0013143F"/>
    <w:rsid w:val="001319CF"/>
    <w:rsid w:val="00132ED3"/>
    <w:rsid w:val="0014356E"/>
    <w:rsid w:val="00151BC2"/>
    <w:rsid w:val="00152CA6"/>
    <w:rsid w:val="00157D57"/>
    <w:rsid w:val="0016244A"/>
    <w:rsid w:val="00164D8C"/>
    <w:rsid w:val="00170549"/>
    <w:rsid w:val="00172E2F"/>
    <w:rsid w:val="00173DE2"/>
    <w:rsid w:val="00177986"/>
    <w:rsid w:val="001821E1"/>
    <w:rsid w:val="00182E23"/>
    <w:rsid w:val="00183D12"/>
    <w:rsid w:val="00184887"/>
    <w:rsid w:val="00197350"/>
    <w:rsid w:val="001A0E75"/>
    <w:rsid w:val="001A1A9C"/>
    <w:rsid w:val="001A51A3"/>
    <w:rsid w:val="001B0EBE"/>
    <w:rsid w:val="001B1A7E"/>
    <w:rsid w:val="001B28CF"/>
    <w:rsid w:val="001B382C"/>
    <w:rsid w:val="001B54B1"/>
    <w:rsid w:val="001B66A1"/>
    <w:rsid w:val="001C06A1"/>
    <w:rsid w:val="001C0D48"/>
    <w:rsid w:val="001D17E4"/>
    <w:rsid w:val="001E075B"/>
    <w:rsid w:val="001E232C"/>
    <w:rsid w:val="001E28FA"/>
    <w:rsid w:val="001E2CDC"/>
    <w:rsid w:val="001F7667"/>
    <w:rsid w:val="00201FE5"/>
    <w:rsid w:val="00205C9D"/>
    <w:rsid w:val="002067AA"/>
    <w:rsid w:val="00210A5B"/>
    <w:rsid w:val="00215F55"/>
    <w:rsid w:val="002229F4"/>
    <w:rsid w:val="00223362"/>
    <w:rsid w:val="00223E15"/>
    <w:rsid w:val="00224AF9"/>
    <w:rsid w:val="0024787C"/>
    <w:rsid w:val="00250548"/>
    <w:rsid w:val="00251F03"/>
    <w:rsid w:val="00256693"/>
    <w:rsid w:val="002609BB"/>
    <w:rsid w:val="0026612B"/>
    <w:rsid w:val="00267195"/>
    <w:rsid w:val="00270961"/>
    <w:rsid w:val="00271443"/>
    <w:rsid w:val="00275798"/>
    <w:rsid w:val="0028227A"/>
    <w:rsid w:val="00282853"/>
    <w:rsid w:val="002863DB"/>
    <w:rsid w:val="00296A55"/>
    <w:rsid w:val="00297E3F"/>
    <w:rsid w:val="002A6C68"/>
    <w:rsid w:val="002B035F"/>
    <w:rsid w:val="002B4DBC"/>
    <w:rsid w:val="002B7BF1"/>
    <w:rsid w:val="002C4333"/>
    <w:rsid w:val="002D0EFE"/>
    <w:rsid w:val="002D0FA2"/>
    <w:rsid w:val="002D4A04"/>
    <w:rsid w:val="002E03A1"/>
    <w:rsid w:val="002E739E"/>
    <w:rsid w:val="002F7D61"/>
    <w:rsid w:val="00304561"/>
    <w:rsid w:val="00305F32"/>
    <w:rsid w:val="00305FD0"/>
    <w:rsid w:val="00306739"/>
    <w:rsid w:val="00307BD1"/>
    <w:rsid w:val="00310616"/>
    <w:rsid w:val="003112DD"/>
    <w:rsid w:val="00313189"/>
    <w:rsid w:val="003140E8"/>
    <w:rsid w:val="00316C02"/>
    <w:rsid w:val="00326F7E"/>
    <w:rsid w:val="00334EBE"/>
    <w:rsid w:val="00335A86"/>
    <w:rsid w:val="00336380"/>
    <w:rsid w:val="00342054"/>
    <w:rsid w:val="00354864"/>
    <w:rsid w:val="00354DD5"/>
    <w:rsid w:val="00357E1B"/>
    <w:rsid w:val="00370F05"/>
    <w:rsid w:val="0037186E"/>
    <w:rsid w:val="00374E44"/>
    <w:rsid w:val="003872A5"/>
    <w:rsid w:val="003874EE"/>
    <w:rsid w:val="00393377"/>
    <w:rsid w:val="00394E74"/>
    <w:rsid w:val="003A2863"/>
    <w:rsid w:val="003A3D5D"/>
    <w:rsid w:val="003A5B63"/>
    <w:rsid w:val="003B1D95"/>
    <w:rsid w:val="003C04BE"/>
    <w:rsid w:val="003C2950"/>
    <w:rsid w:val="003C306C"/>
    <w:rsid w:val="003D1774"/>
    <w:rsid w:val="003E37B9"/>
    <w:rsid w:val="003E3D27"/>
    <w:rsid w:val="003F3B05"/>
    <w:rsid w:val="003F5744"/>
    <w:rsid w:val="00401048"/>
    <w:rsid w:val="00404C16"/>
    <w:rsid w:val="0040527B"/>
    <w:rsid w:val="00411BB3"/>
    <w:rsid w:val="00414B79"/>
    <w:rsid w:val="00416617"/>
    <w:rsid w:val="00417EC4"/>
    <w:rsid w:val="00422CEB"/>
    <w:rsid w:val="0043644D"/>
    <w:rsid w:val="004435A9"/>
    <w:rsid w:val="00443ACE"/>
    <w:rsid w:val="004460C9"/>
    <w:rsid w:val="00460AB6"/>
    <w:rsid w:val="00461EF6"/>
    <w:rsid w:val="00474096"/>
    <w:rsid w:val="00475F02"/>
    <w:rsid w:val="00486E11"/>
    <w:rsid w:val="00495FD5"/>
    <w:rsid w:val="004B421C"/>
    <w:rsid w:val="004B4A63"/>
    <w:rsid w:val="004C1F2C"/>
    <w:rsid w:val="004C4AEB"/>
    <w:rsid w:val="004C6282"/>
    <w:rsid w:val="004C6AE1"/>
    <w:rsid w:val="004E2005"/>
    <w:rsid w:val="004E60E4"/>
    <w:rsid w:val="004F1534"/>
    <w:rsid w:val="004F22B3"/>
    <w:rsid w:val="004F399F"/>
    <w:rsid w:val="004F433A"/>
    <w:rsid w:val="004F4EEC"/>
    <w:rsid w:val="0050004D"/>
    <w:rsid w:val="0050229D"/>
    <w:rsid w:val="00503692"/>
    <w:rsid w:val="00504D49"/>
    <w:rsid w:val="0050583A"/>
    <w:rsid w:val="00506531"/>
    <w:rsid w:val="00508A25"/>
    <w:rsid w:val="005230E9"/>
    <w:rsid w:val="00531754"/>
    <w:rsid w:val="00543C62"/>
    <w:rsid w:val="00545744"/>
    <w:rsid w:val="0055403F"/>
    <w:rsid w:val="0056226D"/>
    <w:rsid w:val="005650D1"/>
    <w:rsid w:val="005719FB"/>
    <w:rsid w:val="0057251C"/>
    <w:rsid w:val="00581510"/>
    <w:rsid w:val="00581ADF"/>
    <w:rsid w:val="00582C38"/>
    <w:rsid w:val="00582D1E"/>
    <w:rsid w:val="005A0899"/>
    <w:rsid w:val="005A780C"/>
    <w:rsid w:val="005B301A"/>
    <w:rsid w:val="005B7AFE"/>
    <w:rsid w:val="005C0E2A"/>
    <w:rsid w:val="005C4558"/>
    <w:rsid w:val="005C6786"/>
    <w:rsid w:val="005C76B8"/>
    <w:rsid w:val="005D0A74"/>
    <w:rsid w:val="005E159E"/>
    <w:rsid w:val="005E19EB"/>
    <w:rsid w:val="005E29C3"/>
    <w:rsid w:val="005E3C1D"/>
    <w:rsid w:val="005F19C3"/>
    <w:rsid w:val="005F26B5"/>
    <w:rsid w:val="005F7B57"/>
    <w:rsid w:val="00605C2F"/>
    <w:rsid w:val="00605E24"/>
    <w:rsid w:val="00606CCF"/>
    <w:rsid w:val="00607E26"/>
    <w:rsid w:val="006118AD"/>
    <w:rsid w:val="00611FF2"/>
    <w:rsid w:val="006127EA"/>
    <w:rsid w:val="006262D1"/>
    <w:rsid w:val="00630F75"/>
    <w:rsid w:val="00642923"/>
    <w:rsid w:val="00642BA0"/>
    <w:rsid w:val="0064303B"/>
    <w:rsid w:val="006437BB"/>
    <w:rsid w:val="0066511E"/>
    <w:rsid w:val="006657E3"/>
    <w:rsid w:val="00665EAC"/>
    <w:rsid w:val="006723AA"/>
    <w:rsid w:val="00672B0A"/>
    <w:rsid w:val="006800CF"/>
    <w:rsid w:val="00690D7E"/>
    <w:rsid w:val="00697050"/>
    <w:rsid w:val="006A0CA6"/>
    <w:rsid w:val="006A0DDA"/>
    <w:rsid w:val="006A3A46"/>
    <w:rsid w:val="006B264A"/>
    <w:rsid w:val="006B4532"/>
    <w:rsid w:val="006C2C89"/>
    <w:rsid w:val="006C5498"/>
    <w:rsid w:val="006C5EA0"/>
    <w:rsid w:val="006C605D"/>
    <w:rsid w:val="006C61CD"/>
    <w:rsid w:val="006D27E7"/>
    <w:rsid w:val="006D7F50"/>
    <w:rsid w:val="006F0AEB"/>
    <w:rsid w:val="006F0C64"/>
    <w:rsid w:val="006F205B"/>
    <w:rsid w:val="00706706"/>
    <w:rsid w:val="00712E5C"/>
    <w:rsid w:val="00716968"/>
    <w:rsid w:val="007212E7"/>
    <w:rsid w:val="00724066"/>
    <w:rsid w:val="007260FA"/>
    <w:rsid w:val="00726FAD"/>
    <w:rsid w:val="00726FF9"/>
    <w:rsid w:val="00732A67"/>
    <w:rsid w:val="00733379"/>
    <w:rsid w:val="00734FA3"/>
    <w:rsid w:val="00735F82"/>
    <w:rsid w:val="0074226A"/>
    <w:rsid w:val="00746831"/>
    <w:rsid w:val="007529D7"/>
    <w:rsid w:val="00770E38"/>
    <w:rsid w:val="00772CB6"/>
    <w:rsid w:val="007778E7"/>
    <w:rsid w:val="007A2F27"/>
    <w:rsid w:val="007A5322"/>
    <w:rsid w:val="007A634D"/>
    <w:rsid w:val="007B69EB"/>
    <w:rsid w:val="007C04BE"/>
    <w:rsid w:val="007C3ADD"/>
    <w:rsid w:val="007C5CFB"/>
    <w:rsid w:val="007D5847"/>
    <w:rsid w:val="007F3E6A"/>
    <w:rsid w:val="007F4CA8"/>
    <w:rsid w:val="008043E1"/>
    <w:rsid w:val="008110C6"/>
    <w:rsid w:val="00812538"/>
    <w:rsid w:val="008135DC"/>
    <w:rsid w:val="00813908"/>
    <w:rsid w:val="00816A29"/>
    <w:rsid w:val="008256C8"/>
    <w:rsid w:val="00832A5B"/>
    <w:rsid w:val="008330CF"/>
    <w:rsid w:val="008347D0"/>
    <w:rsid w:val="0083659D"/>
    <w:rsid w:val="00840D5A"/>
    <w:rsid w:val="0085142C"/>
    <w:rsid w:val="008567F5"/>
    <w:rsid w:val="008574F2"/>
    <w:rsid w:val="008610EA"/>
    <w:rsid w:val="00865BA8"/>
    <w:rsid w:val="00866943"/>
    <w:rsid w:val="00872731"/>
    <w:rsid w:val="008860C2"/>
    <w:rsid w:val="008864CC"/>
    <w:rsid w:val="008A18DB"/>
    <w:rsid w:val="008A4603"/>
    <w:rsid w:val="008A6FD9"/>
    <w:rsid w:val="008B40EE"/>
    <w:rsid w:val="008C6F81"/>
    <w:rsid w:val="008D356A"/>
    <w:rsid w:val="008D4FCB"/>
    <w:rsid w:val="008D5E79"/>
    <w:rsid w:val="008D79FF"/>
    <w:rsid w:val="008E22AB"/>
    <w:rsid w:val="008E2511"/>
    <w:rsid w:val="008E26CE"/>
    <w:rsid w:val="008E2DDE"/>
    <w:rsid w:val="008E4C52"/>
    <w:rsid w:val="008E6611"/>
    <w:rsid w:val="008F6300"/>
    <w:rsid w:val="008F6D96"/>
    <w:rsid w:val="00900FE6"/>
    <w:rsid w:val="00903B0D"/>
    <w:rsid w:val="00905B67"/>
    <w:rsid w:val="00906FBE"/>
    <w:rsid w:val="00910A06"/>
    <w:rsid w:val="00912390"/>
    <w:rsid w:val="0091353A"/>
    <w:rsid w:val="00914ED0"/>
    <w:rsid w:val="00927EA4"/>
    <w:rsid w:val="00934C96"/>
    <w:rsid w:val="00934F66"/>
    <w:rsid w:val="0093691F"/>
    <w:rsid w:val="00936EEA"/>
    <w:rsid w:val="00940522"/>
    <w:rsid w:val="00941D44"/>
    <w:rsid w:val="0094759F"/>
    <w:rsid w:val="00953006"/>
    <w:rsid w:val="00954D11"/>
    <w:rsid w:val="00963C9A"/>
    <w:rsid w:val="009641B7"/>
    <w:rsid w:val="00965C76"/>
    <w:rsid w:val="00977C24"/>
    <w:rsid w:val="00982A84"/>
    <w:rsid w:val="00993C7C"/>
    <w:rsid w:val="009A2256"/>
    <w:rsid w:val="009A2FD3"/>
    <w:rsid w:val="009A465D"/>
    <w:rsid w:val="009B0E0C"/>
    <w:rsid w:val="009B162A"/>
    <w:rsid w:val="009B58DC"/>
    <w:rsid w:val="009B7183"/>
    <w:rsid w:val="009C1E92"/>
    <w:rsid w:val="009C3DE4"/>
    <w:rsid w:val="009C5217"/>
    <w:rsid w:val="009C525F"/>
    <w:rsid w:val="009C52D8"/>
    <w:rsid w:val="009D209B"/>
    <w:rsid w:val="009E7FE9"/>
    <w:rsid w:val="009F6C43"/>
    <w:rsid w:val="00A0094B"/>
    <w:rsid w:val="00A0352D"/>
    <w:rsid w:val="00A059C7"/>
    <w:rsid w:val="00A075FE"/>
    <w:rsid w:val="00A12F1A"/>
    <w:rsid w:val="00A179B4"/>
    <w:rsid w:val="00A25D29"/>
    <w:rsid w:val="00A301AB"/>
    <w:rsid w:val="00A30C70"/>
    <w:rsid w:val="00A72A74"/>
    <w:rsid w:val="00A74234"/>
    <w:rsid w:val="00A7734C"/>
    <w:rsid w:val="00A84235"/>
    <w:rsid w:val="00A8616C"/>
    <w:rsid w:val="00A86C5B"/>
    <w:rsid w:val="00A9271C"/>
    <w:rsid w:val="00A92C64"/>
    <w:rsid w:val="00A947F8"/>
    <w:rsid w:val="00AA3E3D"/>
    <w:rsid w:val="00AA449D"/>
    <w:rsid w:val="00AA67E1"/>
    <w:rsid w:val="00AA7528"/>
    <w:rsid w:val="00AB1FB7"/>
    <w:rsid w:val="00AB20E9"/>
    <w:rsid w:val="00AB2973"/>
    <w:rsid w:val="00AB3CB6"/>
    <w:rsid w:val="00AB4C70"/>
    <w:rsid w:val="00AB590D"/>
    <w:rsid w:val="00AC1400"/>
    <w:rsid w:val="00AC73BA"/>
    <w:rsid w:val="00AE1D94"/>
    <w:rsid w:val="00AE4063"/>
    <w:rsid w:val="00AE4B45"/>
    <w:rsid w:val="00AF6E9E"/>
    <w:rsid w:val="00B01DFE"/>
    <w:rsid w:val="00B026DD"/>
    <w:rsid w:val="00B064C7"/>
    <w:rsid w:val="00B1568A"/>
    <w:rsid w:val="00B157C4"/>
    <w:rsid w:val="00B23635"/>
    <w:rsid w:val="00B254D0"/>
    <w:rsid w:val="00B30AE3"/>
    <w:rsid w:val="00B324EA"/>
    <w:rsid w:val="00B36C24"/>
    <w:rsid w:val="00B41BD5"/>
    <w:rsid w:val="00B4472B"/>
    <w:rsid w:val="00B507D5"/>
    <w:rsid w:val="00B64CBD"/>
    <w:rsid w:val="00B66659"/>
    <w:rsid w:val="00B7036C"/>
    <w:rsid w:val="00B935CA"/>
    <w:rsid w:val="00B95670"/>
    <w:rsid w:val="00B963AE"/>
    <w:rsid w:val="00BA7EA2"/>
    <w:rsid w:val="00BB5809"/>
    <w:rsid w:val="00BD40B2"/>
    <w:rsid w:val="00BD41B9"/>
    <w:rsid w:val="00BD5CDB"/>
    <w:rsid w:val="00BE1053"/>
    <w:rsid w:val="00BE4B1F"/>
    <w:rsid w:val="00BE78EA"/>
    <w:rsid w:val="00BE7E53"/>
    <w:rsid w:val="00BF0BB1"/>
    <w:rsid w:val="00C06FE7"/>
    <w:rsid w:val="00C101EC"/>
    <w:rsid w:val="00C10A77"/>
    <w:rsid w:val="00C10EE3"/>
    <w:rsid w:val="00C1742D"/>
    <w:rsid w:val="00C21C96"/>
    <w:rsid w:val="00C31133"/>
    <w:rsid w:val="00C312AB"/>
    <w:rsid w:val="00C31FB0"/>
    <w:rsid w:val="00C33D38"/>
    <w:rsid w:val="00C442F5"/>
    <w:rsid w:val="00C452AF"/>
    <w:rsid w:val="00C54E1D"/>
    <w:rsid w:val="00C56F74"/>
    <w:rsid w:val="00C61F78"/>
    <w:rsid w:val="00C675E9"/>
    <w:rsid w:val="00C84AE1"/>
    <w:rsid w:val="00C96A5F"/>
    <w:rsid w:val="00CA6F08"/>
    <w:rsid w:val="00CB1867"/>
    <w:rsid w:val="00CB4CC9"/>
    <w:rsid w:val="00CC2545"/>
    <w:rsid w:val="00CD2E8C"/>
    <w:rsid w:val="00CE6E09"/>
    <w:rsid w:val="00D03F2B"/>
    <w:rsid w:val="00D20115"/>
    <w:rsid w:val="00D20CF5"/>
    <w:rsid w:val="00D230A5"/>
    <w:rsid w:val="00D27986"/>
    <w:rsid w:val="00D31657"/>
    <w:rsid w:val="00D34EC7"/>
    <w:rsid w:val="00D36AE4"/>
    <w:rsid w:val="00D40B63"/>
    <w:rsid w:val="00D4587D"/>
    <w:rsid w:val="00D46060"/>
    <w:rsid w:val="00D5171D"/>
    <w:rsid w:val="00D55A97"/>
    <w:rsid w:val="00D60A33"/>
    <w:rsid w:val="00D6508A"/>
    <w:rsid w:val="00D651FD"/>
    <w:rsid w:val="00D73279"/>
    <w:rsid w:val="00D77B58"/>
    <w:rsid w:val="00D818BA"/>
    <w:rsid w:val="00D956B2"/>
    <w:rsid w:val="00D96484"/>
    <w:rsid w:val="00D96C9A"/>
    <w:rsid w:val="00DA0650"/>
    <w:rsid w:val="00DA2985"/>
    <w:rsid w:val="00DA60E6"/>
    <w:rsid w:val="00DB150E"/>
    <w:rsid w:val="00DB29F7"/>
    <w:rsid w:val="00DB5852"/>
    <w:rsid w:val="00DB7A4E"/>
    <w:rsid w:val="00DC0627"/>
    <w:rsid w:val="00DC3074"/>
    <w:rsid w:val="00DC4D0C"/>
    <w:rsid w:val="00DC7421"/>
    <w:rsid w:val="00DC77DF"/>
    <w:rsid w:val="00DD383D"/>
    <w:rsid w:val="00DE59D3"/>
    <w:rsid w:val="00DF1099"/>
    <w:rsid w:val="00DF1C05"/>
    <w:rsid w:val="00DF4A6F"/>
    <w:rsid w:val="00E02AFE"/>
    <w:rsid w:val="00E03B62"/>
    <w:rsid w:val="00E103E3"/>
    <w:rsid w:val="00E1077F"/>
    <w:rsid w:val="00E1284F"/>
    <w:rsid w:val="00E20445"/>
    <w:rsid w:val="00E25EE0"/>
    <w:rsid w:val="00E3667F"/>
    <w:rsid w:val="00E41773"/>
    <w:rsid w:val="00E469C9"/>
    <w:rsid w:val="00E5558B"/>
    <w:rsid w:val="00E577E2"/>
    <w:rsid w:val="00E618F0"/>
    <w:rsid w:val="00E81E30"/>
    <w:rsid w:val="00E86427"/>
    <w:rsid w:val="00E87674"/>
    <w:rsid w:val="00E917FA"/>
    <w:rsid w:val="00E92C8C"/>
    <w:rsid w:val="00E97850"/>
    <w:rsid w:val="00EA118C"/>
    <w:rsid w:val="00EA1FD3"/>
    <w:rsid w:val="00EA2090"/>
    <w:rsid w:val="00EC3038"/>
    <w:rsid w:val="00EC3EA3"/>
    <w:rsid w:val="00ED35C7"/>
    <w:rsid w:val="00ED59D5"/>
    <w:rsid w:val="00ED5C95"/>
    <w:rsid w:val="00EE25EE"/>
    <w:rsid w:val="00EE53AA"/>
    <w:rsid w:val="00EE572C"/>
    <w:rsid w:val="00EE58D5"/>
    <w:rsid w:val="00EE5B9B"/>
    <w:rsid w:val="00EE5E9B"/>
    <w:rsid w:val="00EE63CA"/>
    <w:rsid w:val="00EF17A4"/>
    <w:rsid w:val="00EF41D3"/>
    <w:rsid w:val="00F011D9"/>
    <w:rsid w:val="00F03BD9"/>
    <w:rsid w:val="00F047B7"/>
    <w:rsid w:val="00F07C50"/>
    <w:rsid w:val="00F11EBD"/>
    <w:rsid w:val="00F20552"/>
    <w:rsid w:val="00F209F8"/>
    <w:rsid w:val="00F24690"/>
    <w:rsid w:val="00F24E58"/>
    <w:rsid w:val="00F25D02"/>
    <w:rsid w:val="00F325CF"/>
    <w:rsid w:val="00F4164C"/>
    <w:rsid w:val="00F53EBF"/>
    <w:rsid w:val="00F5629B"/>
    <w:rsid w:val="00F632FE"/>
    <w:rsid w:val="00F83F4D"/>
    <w:rsid w:val="00F90118"/>
    <w:rsid w:val="00F9067B"/>
    <w:rsid w:val="00F91BF0"/>
    <w:rsid w:val="00F96C7D"/>
    <w:rsid w:val="00FA08AA"/>
    <w:rsid w:val="00FA311B"/>
    <w:rsid w:val="00FB0147"/>
    <w:rsid w:val="00FB2099"/>
    <w:rsid w:val="00FB21BE"/>
    <w:rsid w:val="00FB59AE"/>
    <w:rsid w:val="00FC0FC9"/>
    <w:rsid w:val="00FC37A8"/>
    <w:rsid w:val="00FC6AF6"/>
    <w:rsid w:val="00FD260D"/>
    <w:rsid w:val="00FD4AEE"/>
    <w:rsid w:val="00FD5F35"/>
    <w:rsid w:val="00FD658A"/>
    <w:rsid w:val="00FD74E7"/>
    <w:rsid w:val="00FE0381"/>
    <w:rsid w:val="00FE27CC"/>
    <w:rsid w:val="00FE4A3A"/>
    <w:rsid w:val="00FE714B"/>
    <w:rsid w:val="00FE76CF"/>
    <w:rsid w:val="00FF059E"/>
    <w:rsid w:val="00FF7E51"/>
    <w:rsid w:val="02AF2ED3"/>
    <w:rsid w:val="03A72F26"/>
    <w:rsid w:val="0523A8FD"/>
    <w:rsid w:val="07A3B6BF"/>
    <w:rsid w:val="0875B973"/>
    <w:rsid w:val="0BD77962"/>
    <w:rsid w:val="0D5A403F"/>
    <w:rsid w:val="120DFC94"/>
    <w:rsid w:val="1324EC1F"/>
    <w:rsid w:val="14BA236B"/>
    <w:rsid w:val="1538129F"/>
    <w:rsid w:val="15A492BC"/>
    <w:rsid w:val="15D4730D"/>
    <w:rsid w:val="173F5D98"/>
    <w:rsid w:val="1BB746BF"/>
    <w:rsid w:val="1BC8A4A6"/>
    <w:rsid w:val="21FFA33A"/>
    <w:rsid w:val="242FBA50"/>
    <w:rsid w:val="2682AC85"/>
    <w:rsid w:val="26DF83C7"/>
    <w:rsid w:val="287325F2"/>
    <w:rsid w:val="288764EC"/>
    <w:rsid w:val="2F6F8628"/>
    <w:rsid w:val="2FD14D48"/>
    <w:rsid w:val="44988FA9"/>
    <w:rsid w:val="46EF61AC"/>
    <w:rsid w:val="474A2DE1"/>
    <w:rsid w:val="47D24148"/>
    <w:rsid w:val="4C4BEC04"/>
    <w:rsid w:val="4D1B286C"/>
    <w:rsid w:val="4D8CA50F"/>
    <w:rsid w:val="4DE40FF3"/>
    <w:rsid w:val="4EC8334E"/>
    <w:rsid w:val="50A72E9D"/>
    <w:rsid w:val="5149B26E"/>
    <w:rsid w:val="522FF55A"/>
    <w:rsid w:val="53DAD996"/>
    <w:rsid w:val="53F29269"/>
    <w:rsid w:val="562A788D"/>
    <w:rsid w:val="5BFF15DB"/>
    <w:rsid w:val="5E32B1E1"/>
    <w:rsid w:val="601E74AE"/>
    <w:rsid w:val="60B62DA5"/>
    <w:rsid w:val="630E2DA7"/>
    <w:rsid w:val="63DB8C81"/>
    <w:rsid w:val="679D7688"/>
    <w:rsid w:val="6B967A9B"/>
    <w:rsid w:val="6BE52ACE"/>
    <w:rsid w:val="6DA92B04"/>
    <w:rsid w:val="72264FF5"/>
    <w:rsid w:val="75227E03"/>
    <w:rsid w:val="75BB7663"/>
    <w:rsid w:val="7945C4A8"/>
    <w:rsid w:val="7946E09F"/>
    <w:rsid w:val="7A3C9353"/>
    <w:rsid w:val="7F549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36948"/>
  <w15:chartTrackingRefBased/>
  <w15:docId w15:val="{7ACEB72C-C1D4-4690-80B1-2849B0ED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SI 1 Normal"/>
    <w:qFormat/>
  </w:style>
  <w:style w:type="paragraph" w:styleId="Heading1">
    <w:name w:val="heading 1"/>
    <w:aliases w:val="PSI 1"/>
    <w:basedOn w:val="Normal"/>
    <w:next w:val="Normal"/>
    <w:link w:val="Heading1Char"/>
    <w:uiPriority w:val="9"/>
    <w:qFormat/>
    <w:rsid w:val="005C6786"/>
    <w:pPr>
      <w:keepNext/>
      <w:keepLines/>
      <w:spacing w:before="240" w:after="0"/>
      <w:outlineLvl w:val="0"/>
    </w:pPr>
    <w:rPr>
      <w:rFonts w:eastAsiaTheme="majorEastAsia" w:cstheme="majorBidi"/>
      <w:color w:val="006A71"/>
      <w:sz w:val="72"/>
      <w:szCs w:val="32"/>
    </w:rPr>
  </w:style>
  <w:style w:type="paragraph" w:styleId="Heading2">
    <w:name w:val="heading 2"/>
    <w:aliases w:val="PSI 2"/>
    <w:basedOn w:val="Normal"/>
    <w:next w:val="Normal"/>
    <w:link w:val="Heading2Char"/>
    <w:uiPriority w:val="9"/>
    <w:unhideWhenUsed/>
    <w:qFormat/>
    <w:rsid w:val="005C6786"/>
    <w:pPr>
      <w:keepNext/>
      <w:keepLines/>
      <w:spacing w:before="40" w:after="0"/>
      <w:outlineLvl w:val="1"/>
    </w:pPr>
    <w:rPr>
      <w:rFonts w:eastAsiaTheme="majorEastAsia" w:cstheme="majorBidi"/>
      <w:color w:val="006A71"/>
      <w:sz w:val="5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SI 1 Char"/>
    <w:basedOn w:val="DefaultParagraphFont"/>
    <w:link w:val="Heading1"/>
    <w:uiPriority w:val="9"/>
    <w:rsid w:val="005C6786"/>
    <w:rPr>
      <w:rFonts w:eastAsiaTheme="majorEastAsia" w:cstheme="majorBidi"/>
      <w:color w:val="006A71"/>
      <w:sz w:val="72"/>
      <w:szCs w:val="32"/>
    </w:rPr>
  </w:style>
  <w:style w:type="character" w:customStyle="1" w:styleId="Heading2Char">
    <w:name w:val="Heading 2 Char"/>
    <w:aliases w:val="PSI 2 Char"/>
    <w:basedOn w:val="DefaultParagraphFont"/>
    <w:link w:val="Heading2"/>
    <w:uiPriority w:val="9"/>
    <w:rsid w:val="005C6786"/>
    <w:rPr>
      <w:rFonts w:eastAsiaTheme="majorEastAsia" w:cstheme="majorBidi"/>
      <w:color w:val="006A71"/>
      <w:sz w:val="52"/>
      <w:szCs w:val="26"/>
    </w:rPr>
  </w:style>
  <w:style w:type="paragraph" w:styleId="Title">
    <w:name w:val="Title"/>
    <w:aliases w:val="PSI 3"/>
    <w:basedOn w:val="Normal"/>
    <w:next w:val="Normal"/>
    <w:link w:val="TitleChar"/>
    <w:uiPriority w:val="10"/>
    <w:qFormat/>
    <w:rsid w:val="005C6786"/>
    <w:pPr>
      <w:spacing w:after="0" w:line="240" w:lineRule="auto"/>
      <w:contextualSpacing/>
    </w:pPr>
    <w:rPr>
      <w:rFonts w:eastAsiaTheme="majorEastAsia" w:cstheme="majorBidi"/>
      <w:color w:val="006A71"/>
      <w:spacing w:val="-10"/>
      <w:kern w:val="28"/>
      <w:sz w:val="36"/>
      <w:szCs w:val="56"/>
    </w:rPr>
  </w:style>
  <w:style w:type="character" w:customStyle="1" w:styleId="TitleChar">
    <w:name w:val="Title Char"/>
    <w:aliases w:val="PSI 3 Char"/>
    <w:basedOn w:val="DefaultParagraphFont"/>
    <w:link w:val="Title"/>
    <w:uiPriority w:val="10"/>
    <w:rsid w:val="005C6786"/>
    <w:rPr>
      <w:rFonts w:eastAsiaTheme="majorEastAsia" w:cstheme="majorBidi"/>
      <w:color w:val="006A71"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11"/>
  </w:style>
  <w:style w:type="paragraph" w:styleId="Footer">
    <w:name w:val="footer"/>
    <w:basedOn w:val="Normal"/>
    <w:link w:val="FooterChar"/>
    <w:uiPriority w:val="99"/>
    <w:unhideWhenUsed/>
    <w:rsid w:val="0048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11"/>
  </w:style>
  <w:style w:type="paragraph" w:styleId="CommentText">
    <w:name w:val="annotation text"/>
    <w:basedOn w:val="Normal"/>
    <w:link w:val="CommentTextChar"/>
    <w:uiPriority w:val="99"/>
    <w:unhideWhenUsed/>
    <w:rsid w:val="001C0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6A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C06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06A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C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2863D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863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63D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212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6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DE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D4FC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cations@psi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.duffy\Downloads\Banner%20page%20short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004A66C0B4843848035918A5DE7A3" ma:contentTypeVersion="13" ma:contentTypeDescription="Create a new document." ma:contentTypeScope="" ma:versionID="90705690c6d0b77ef275fdf8cb8ad0cc">
  <xsd:schema xmlns:xsd="http://www.w3.org/2001/XMLSchema" xmlns:xs="http://www.w3.org/2001/XMLSchema" xmlns:p="http://schemas.microsoft.com/office/2006/metadata/properties" xmlns:ns2="64efb95b-05b5-45c4-833d-858d3ee17475" xmlns:ns3="ac29bd99-2a7e-425c-baaa-f67f156411bc" targetNamespace="http://schemas.microsoft.com/office/2006/metadata/properties" ma:root="true" ma:fieldsID="0549f32f7fb8f2de8ea261df216977dc" ns2:_="" ns3:_="">
    <xsd:import namespace="64efb95b-05b5-45c4-833d-858d3ee17475"/>
    <xsd:import namespace="ac29bd99-2a7e-425c-baaa-f67f15641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b95b-05b5-45c4-833d-858d3ee1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d5bf19-2a4f-4a85-8c40-bacf691a7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bd99-2a7e-425c-baaa-f67f156411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dec619-b07c-4703-9f95-dc9c77c916e6}" ma:internalName="TaxCatchAll" ma:showField="CatchAllData" ma:web="ac29bd99-2a7e-425c-baaa-f67f15641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9bd99-2a7e-425c-baaa-f67f156411bc" xsi:nil="true"/>
    <lcf76f155ced4ddcb4097134ff3c332f xmlns="64efb95b-05b5-45c4-833d-858d3ee17475">
      <Terms xmlns="http://schemas.microsoft.com/office/infopath/2007/PartnerControls"/>
    </lcf76f155ced4ddcb4097134ff3c332f>
    <Note xmlns="64efb95b-05b5-45c4-833d-858d3ee174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AFDC5-412E-442A-9036-036FBF852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b95b-05b5-45c4-833d-858d3ee17475"/>
    <ds:schemaRef ds:uri="ac29bd99-2a7e-425c-baaa-f67f15641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9270-C2B5-4B2C-9464-1621CDA3BAA5}">
  <ds:schemaRefs>
    <ds:schemaRef ds:uri="http://schemas.microsoft.com/office/2006/metadata/properties"/>
    <ds:schemaRef ds:uri="http://schemas.microsoft.com/office/infopath/2007/PartnerControls"/>
    <ds:schemaRef ds:uri="ac29bd99-2a7e-425c-baaa-f67f156411bc"/>
    <ds:schemaRef ds:uri="64efb95b-05b5-45c4-833d-858d3ee17475"/>
  </ds:schemaRefs>
</ds:datastoreItem>
</file>

<file path=customXml/itemProps3.xml><?xml version="1.0" encoding="utf-8"?>
<ds:datastoreItem xmlns:ds="http://schemas.openxmlformats.org/officeDocument/2006/customXml" ds:itemID="{0796A553-4E02-41D5-9D75-541BF44D0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AAF89D-2C16-4C41-9A20-C036A4F1B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page short document</Template>
  <TotalTime>60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Duffy</dc:creator>
  <cp:keywords/>
  <dc:description/>
  <cp:lastModifiedBy>Louise Canavan</cp:lastModifiedBy>
  <cp:revision>401</cp:revision>
  <cp:lastPrinted>2015-08-17T03:52:00Z</cp:lastPrinted>
  <dcterms:created xsi:type="dcterms:W3CDTF">2024-07-03T01:35:00Z</dcterms:created>
  <dcterms:modified xsi:type="dcterms:W3CDTF">2026-04-30T15:31:00Z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0x010100F31004A66C0B4843848035918A5DE7A3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Project">
    <vt:lpwstr>No</vt:lpwstr>
  </property>
  <property fmtid="{D5CDD505-2E9C-101B-9397-08002B2CF9AE}" pid="6" name="Order">
    <vt:r8>3222000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